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黑体" w:hAnsi="黑体" w:eastAsia="黑体"/>
          <w:sz w:val="30"/>
          <w:szCs w:val="24"/>
        </w:rPr>
        <w:t xml:space="preserve">       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濮阳市文广旅体局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项目支出绩效自评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总结报告</w:t>
      </w:r>
    </w:p>
    <w:p>
      <w:pPr>
        <w:spacing w:line="500" w:lineRule="exact"/>
        <w:jc w:val="both"/>
        <w:rPr>
          <w:rFonts w:ascii="Times New Roman" w:hAnsi="Times New Roman" w:eastAsia="仿宋_GB2312"/>
          <w:sz w:val="32"/>
          <w:szCs w:val="32"/>
        </w:rPr>
      </w:pPr>
    </w:p>
    <w:p>
      <w:pPr>
        <w:spacing w:line="600" w:lineRule="exact"/>
        <w:ind w:firstLine="600" w:firstLineChars="200"/>
        <w:rPr>
          <w:rFonts w:ascii="Times New Roman" w:hAnsi="Times New Roman" w:eastAsia="黑体"/>
          <w:sz w:val="30"/>
          <w:szCs w:val="24"/>
        </w:rPr>
      </w:pPr>
      <w:r>
        <w:rPr>
          <w:rFonts w:ascii="Times New Roman" w:hAnsi="黑体" w:eastAsia="黑体"/>
          <w:sz w:val="30"/>
          <w:szCs w:val="24"/>
        </w:rPr>
        <w:t>一、项目支出基本情况</w:t>
      </w:r>
    </w:p>
    <w:p>
      <w:pPr>
        <w:spacing w:line="560" w:lineRule="exact"/>
        <w:ind w:firstLine="528" w:firstLineChars="176"/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按照全面实施绩效管理的规定，濮阳市文化广电旅游体育局对本部门的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9个项目进行了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绩效自评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，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预算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资金计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867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万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元，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当年实际到账资金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5713.8万元，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主要原因为追加市第十届运动会经费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300万元，追加市文旅推广经费129.8万元，发行市体校综合训练馆专项债4600万元。</w:t>
      </w:r>
    </w:p>
    <w:p>
      <w:pPr>
        <w:spacing w:line="560" w:lineRule="exact"/>
        <w:ind w:firstLine="528" w:firstLineChars="176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项目具体情况为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：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当年追加市第十届运动会专项经费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300万元，支出300万元，预算执行率100%；当年追加市文旅宣传推广专项经费129.8万元，支出129.8万元，预算执行率100%；文化建设专项预算262万元，拨付100万元，受疫情影响支出9.92万元，预算执行率10%；舞台艺术送基层专项预算24万元，收到24万元，支出24万元，预算执行率为100%；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春节晚会专项预算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50万元，收到50万元，支出50万元，预算执行率为100%；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图书馆文化馆文化站免费开放专项预算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89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万元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，收到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89万元，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支出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89万元，预算执行率为100%；体育场馆低免收费补助专项预算99万元，收到99万元，支出99万元，预算执行率为100%；当年发行市体校综合训练馆专项债4600万元，收到4600万元，支出4600万元，预算执行率100%；综合文化活动专项预算343万元，收到322万元，支出74.65万元，预算执行率为23.18%；。</w:t>
      </w:r>
    </w:p>
    <w:p>
      <w:pPr>
        <w:spacing w:line="600" w:lineRule="exact"/>
        <w:ind w:firstLine="600" w:firstLineChars="200"/>
        <w:rPr>
          <w:rFonts w:ascii="Times New Roman" w:hAnsi="Times New Roman" w:eastAsia="黑体"/>
          <w:sz w:val="30"/>
          <w:szCs w:val="24"/>
        </w:rPr>
      </w:pPr>
      <w:r>
        <w:rPr>
          <w:rFonts w:ascii="Times New Roman" w:hAnsi="黑体" w:eastAsia="黑体"/>
          <w:sz w:val="30"/>
          <w:szCs w:val="24"/>
        </w:rPr>
        <w:t>二、绩效自评工作开展情况</w:t>
      </w:r>
    </w:p>
    <w:p>
      <w:pPr>
        <w:spacing w:line="600" w:lineRule="exact"/>
        <w:ind w:firstLine="600" w:firstLineChars="200"/>
        <w:outlineLvl w:val="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按照市财政局安排部署，我局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高度重视项目绩效评价工作，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明确分管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领导、业务科室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专门负责此项工作。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按照相关规定，围绕绩效目标实现程度和预算执行进度两个核心内容，对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2021年9个项目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绩效目标完成情况、项目实施情况、预算执行情况等开展绩效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评价，绩效自评覆盖率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100%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。</w:t>
      </w:r>
    </w:p>
    <w:p>
      <w:pPr>
        <w:spacing w:line="600" w:lineRule="exact"/>
        <w:ind w:firstLine="600" w:firstLineChars="200"/>
        <w:rPr>
          <w:rFonts w:ascii="Times New Roman" w:hAnsi="Times New Roman" w:eastAsia="黑体"/>
          <w:sz w:val="30"/>
          <w:szCs w:val="24"/>
        </w:rPr>
      </w:pPr>
      <w:r>
        <w:rPr>
          <w:rFonts w:ascii="Times New Roman" w:hAnsi="黑体" w:eastAsia="黑体"/>
          <w:sz w:val="30"/>
          <w:szCs w:val="24"/>
        </w:rPr>
        <w:t>三、绩效自评结果及分析</w:t>
      </w:r>
    </w:p>
    <w:p>
      <w:pPr>
        <w:spacing w:line="560" w:lineRule="exact"/>
        <w:ind w:firstLine="602" w:firstLineChars="200"/>
        <w:rPr>
          <w:rFonts w:ascii="Times New Roman" w:hAnsi="Times New Roman" w:eastAsia="楷体_GB2312"/>
          <w:b/>
          <w:bCs/>
          <w:color w:val="auto"/>
          <w:sz w:val="30"/>
          <w:szCs w:val="30"/>
        </w:rPr>
      </w:pPr>
      <w:r>
        <w:rPr>
          <w:rFonts w:ascii="Times New Roman" w:hAnsi="Times New Roman" w:eastAsia="楷体_GB2312"/>
          <w:b/>
          <w:bCs/>
          <w:color w:val="auto"/>
          <w:sz w:val="30"/>
          <w:szCs w:val="30"/>
        </w:rPr>
        <w:t>（一）总体情况</w:t>
      </w:r>
    </w:p>
    <w:p>
      <w:pPr>
        <w:spacing w:line="560" w:lineRule="exact"/>
        <w:ind w:firstLine="600" w:firstLineChars="200"/>
        <w:rPr>
          <w:rFonts w:ascii="Times New Roman" w:hAnsi="Times New Roman" w:eastAsia="仿宋_GB2312"/>
          <w:color w:val="auto"/>
          <w:sz w:val="30"/>
          <w:szCs w:val="30"/>
        </w:rPr>
      </w:pPr>
      <w:r>
        <w:rPr>
          <w:rFonts w:ascii="Times New Roman" w:hAnsi="Times New Roman" w:eastAsia="仿宋_GB2312"/>
          <w:color w:val="auto"/>
          <w:sz w:val="30"/>
          <w:szCs w:val="30"/>
        </w:rPr>
        <w:t>从绩效目标实现程度看，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eastAsia="zh-CN"/>
        </w:rPr>
        <w:t>我局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val="en-US" w:eastAsia="zh-CN"/>
        </w:rPr>
        <w:t>9</w:t>
      </w:r>
      <w:r>
        <w:rPr>
          <w:rFonts w:ascii="Times New Roman" w:hAnsi="Times New Roman" w:eastAsia="仿宋_GB2312"/>
          <w:color w:val="auto"/>
          <w:sz w:val="30"/>
          <w:szCs w:val="30"/>
        </w:rPr>
        <w:t>个项目绩效目标实现程度整体</w:t>
      </w:r>
      <w:r>
        <w:rPr>
          <w:rFonts w:hint="eastAsia" w:ascii="Times New Roman" w:hAnsi="Times New Roman" w:eastAsia="仿宋_GB2312"/>
          <w:color w:val="auto"/>
          <w:sz w:val="30"/>
          <w:szCs w:val="30"/>
        </w:rPr>
        <w:t>较好</w:t>
      </w:r>
      <w:r>
        <w:rPr>
          <w:rFonts w:ascii="Times New Roman" w:hAnsi="Times New Roman" w:eastAsia="仿宋_GB2312"/>
          <w:color w:val="auto"/>
          <w:sz w:val="30"/>
          <w:szCs w:val="30"/>
        </w:rPr>
        <w:t>。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val="en-US" w:eastAsia="zh-CN"/>
        </w:rPr>
        <w:t>9</w:t>
      </w:r>
      <w:r>
        <w:rPr>
          <w:rFonts w:ascii="Times New Roman" w:hAnsi="Times New Roman" w:eastAsia="仿宋_GB2312"/>
          <w:color w:val="auto"/>
          <w:sz w:val="30"/>
          <w:szCs w:val="30"/>
        </w:rPr>
        <w:t>个项目共设置</w:t>
      </w:r>
      <w:r>
        <w:rPr>
          <w:rFonts w:hint="default" w:ascii="Times New Roman" w:hAnsi="Times New Roman" w:eastAsia="仿宋_GB2312"/>
          <w:color w:val="auto"/>
          <w:sz w:val="30"/>
          <w:szCs w:val="30"/>
          <w:lang w:val="en-US" w:eastAsia="zh-CN"/>
        </w:rPr>
        <w:t>1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val="en-US" w:eastAsia="zh-CN"/>
        </w:rPr>
        <w:t>92</w:t>
      </w:r>
      <w:r>
        <w:rPr>
          <w:rFonts w:ascii="Times New Roman" w:hAnsi="Times New Roman" w:eastAsia="仿宋_GB2312"/>
          <w:color w:val="auto"/>
          <w:sz w:val="30"/>
          <w:szCs w:val="30"/>
        </w:rPr>
        <w:t>个绩效指标，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eastAsia="zh-CN"/>
        </w:rPr>
        <w:t>资金拨付到位项目指标全部完成</w:t>
      </w:r>
      <w:r>
        <w:rPr>
          <w:rFonts w:ascii="Times New Roman" w:hAnsi="Times New Roman" w:eastAsia="仿宋_GB2312"/>
          <w:color w:val="auto"/>
          <w:sz w:val="30"/>
          <w:szCs w:val="30"/>
        </w:rPr>
        <w:t>。</w:t>
      </w:r>
    </w:p>
    <w:p>
      <w:pPr>
        <w:spacing w:line="560" w:lineRule="exact"/>
        <w:ind w:firstLine="600" w:firstLineChars="200"/>
        <w:rPr>
          <w:rFonts w:hint="default" w:ascii="Times New Roman" w:hAnsi="Times New Roman" w:eastAsia="仿宋_GB2312"/>
          <w:color w:val="auto"/>
          <w:sz w:val="30"/>
          <w:szCs w:val="30"/>
          <w:lang w:val="en-US" w:eastAsia="zh-CN"/>
        </w:rPr>
      </w:pPr>
      <w:r>
        <w:rPr>
          <w:rFonts w:ascii="Times New Roman" w:hAnsi="Times New Roman" w:eastAsia="仿宋_GB2312"/>
          <w:color w:val="auto"/>
          <w:sz w:val="30"/>
          <w:szCs w:val="30"/>
        </w:rPr>
        <w:t>从预算执行程度看，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val="en-US" w:eastAsia="zh-CN"/>
        </w:rPr>
        <w:t>9</w:t>
      </w:r>
      <w:r>
        <w:rPr>
          <w:rFonts w:ascii="Times New Roman" w:hAnsi="Times New Roman" w:eastAsia="仿宋_GB2312"/>
          <w:color w:val="auto"/>
          <w:sz w:val="30"/>
          <w:szCs w:val="30"/>
        </w:rPr>
        <w:t>个项目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eastAsia="zh-CN"/>
        </w:rPr>
        <w:t>预算执行率平均</w:t>
      </w:r>
      <w:r>
        <w:rPr>
          <w:rFonts w:ascii="Times New Roman" w:hAnsi="Times New Roman" w:eastAsia="仿宋_GB2312"/>
          <w:color w:val="auto"/>
          <w:sz w:val="30"/>
          <w:szCs w:val="30"/>
        </w:rPr>
        <w:t>为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val="en-US" w:eastAsia="zh-CN"/>
        </w:rPr>
        <w:t>81.46</w:t>
      </w:r>
      <w:r>
        <w:rPr>
          <w:rFonts w:ascii="Times New Roman" w:hAnsi="Times New Roman" w:eastAsia="仿宋_GB2312"/>
          <w:color w:val="auto"/>
          <w:sz w:val="30"/>
          <w:szCs w:val="30"/>
        </w:rPr>
        <w:t>%。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eastAsia="zh-CN"/>
        </w:rPr>
        <w:t>其中，预算执行率为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val="en-US" w:eastAsia="zh-CN"/>
        </w:rPr>
        <w:t>100%的项目7个，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eastAsia="zh-CN"/>
        </w:rPr>
        <w:t>预算执行率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val="en-US" w:eastAsia="zh-CN"/>
        </w:rPr>
        <w:t>90%到100%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eastAsia="zh-CN"/>
        </w:rPr>
        <w:t>的项目</w:t>
      </w:r>
      <w:r>
        <w:rPr>
          <w:rFonts w:hint="eastAsia" w:ascii="Times New Roman" w:hAnsi="Times New Roman" w:eastAsia="仿宋_GB2312"/>
          <w:color w:val="auto"/>
          <w:sz w:val="30"/>
          <w:szCs w:val="30"/>
          <w:lang w:val="en-US" w:eastAsia="zh-CN"/>
        </w:rPr>
        <w:t>0个，预算执行率50%到90%的项目0个，预算执行率10%到50%的项目2个，预算执行率0%的项目0个。</w:t>
      </w:r>
    </w:p>
    <w:p>
      <w:pPr>
        <w:spacing w:line="560" w:lineRule="exact"/>
        <w:ind w:firstLine="602" w:firstLineChars="200"/>
        <w:rPr>
          <w:rFonts w:ascii="Times New Roman" w:hAnsi="Times New Roman" w:eastAsia="楷体_GB2312"/>
          <w:b/>
          <w:bCs/>
          <w:color w:val="auto"/>
          <w:sz w:val="30"/>
          <w:szCs w:val="30"/>
        </w:rPr>
      </w:pPr>
      <w:r>
        <w:rPr>
          <w:rFonts w:ascii="Times New Roman" w:hAnsi="Times New Roman" w:eastAsia="楷体_GB2312"/>
          <w:b/>
          <w:bCs/>
          <w:color w:val="auto"/>
          <w:sz w:val="30"/>
          <w:szCs w:val="30"/>
        </w:rPr>
        <w:t>（二）分项目情况</w:t>
      </w:r>
    </w:p>
    <w:p>
      <w:pPr>
        <w:spacing w:line="560" w:lineRule="exact"/>
        <w:ind w:firstLine="640"/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</w:pP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1.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市第十届运动会举办专项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项目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资金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：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年初共设置绩效指标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个，已完成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21个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，占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 xml:space="preserve"> %。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预算执行率为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100%。</w:t>
      </w:r>
    </w:p>
    <w:p>
      <w:pPr>
        <w:spacing w:line="560" w:lineRule="exact"/>
        <w:ind w:firstLine="640"/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</w:pP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2.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 xml:space="preserve"> 市文旅宣传推广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专项资金：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年初共设置绩效指标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个，已完成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21个，占100%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。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预算执行率为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100%。</w:t>
      </w:r>
    </w:p>
    <w:p>
      <w:pPr>
        <w:spacing w:line="560" w:lineRule="exact"/>
        <w:ind w:firstLine="640"/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</w:pP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3.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文化建设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专项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资金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：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年初共设置绩效指标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24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个，已完成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24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个，占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%。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预算执行率为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10%，原因是受疫情影响。</w:t>
      </w:r>
    </w:p>
    <w:p>
      <w:pPr>
        <w:spacing w:line="560" w:lineRule="exact"/>
        <w:ind w:firstLine="640"/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4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.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舞台艺术送基层专项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资金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：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年初共设置绩效指标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已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完成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个，占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%。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预算执行率为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100%。</w:t>
      </w:r>
    </w:p>
    <w:p>
      <w:pPr>
        <w:spacing w:line="560" w:lineRule="exact"/>
        <w:ind w:firstLine="640"/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5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.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春节晚会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专项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资金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：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年初共设置绩效指标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已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完成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个，占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%。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预算执行率为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100%。</w:t>
      </w:r>
    </w:p>
    <w:p>
      <w:pPr>
        <w:spacing w:line="560" w:lineRule="exact"/>
        <w:ind w:firstLine="640"/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</w:pP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6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.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图书馆文化馆文化站免费开放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专项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资金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；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年初共设置绩效指标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个，已完成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个，占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%。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预算执行率为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100%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。</w:t>
      </w:r>
    </w:p>
    <w:p>
      <w:pPr>
        <w:spacing w:line="560" w:lineRule="exact"/>
        <w:ind w:firstLine="640"/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</w:pPr>
      <w:r>
        <w:rPr>
          <w:rFonts w:hint="default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7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.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体育场馆低免收费补助专项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资金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：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年初共设置绩效指标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个，已完成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个，占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</w:t>
      </w:r>
      <w:r>
        <w:rPr>
          <w:rFonts w:hint="default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0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%。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预算执行率为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</w:t>
      </w:r>
      <w:r>
        <w:rPr>
          <w:rFonts w:hint="default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0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%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。</w:t>
      </w:r>
    </w:p>
    <w:p>
      <w:pPr>
        <w:spacing w:line="560" w:lineRule="exact"/>
        <w:ind w:firstLine="640"/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</w:pPr>
      <w:r>
        <w:rPr>
          <w:rFonts w:hint="default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8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.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市体校综合训练馆专项债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：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年初共设置绩效指标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个，已完成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个，占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%。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预算执行率为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100%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。</w:t>
      </w:r>
    </w:p>
    <w:p>
      <w:pPr>
        <w:spacing w:line="560" w:lineRule="exact"/>
        <w:ind w:firstLine="640"/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9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.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综合文化活动专项资金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：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年初共设置绩效指标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个，已完成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21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个，占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100</w:t>
      </w:r>
      <w:r>
        <w:rPr>
          <w:rFonts w:ascii="Times New Roman" w:hAnsi="Times New Roman" w:eastAsia="仿宋_GB2312"/>
          <w:bCs/>
          <w:snapToGrid w:val="0"/>
          <w:color w:val="auto"/>
          <w:kern w:val="0"/>
          <w:sz w:val="30"/>
          <w:szCs w:val="30"/>
        </w:rPr>
        <w:t>%。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eastAsia="zh-CN"/>
        </w:rPr>
        <w:t>预算执行率为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23.2%，原因为疫情影响。</w:t>
      </w:r>
    </w:p>
    <w:p>
      <w:pPr>
        <w:spacing w:line="600" w:lineRule="exact"/>
        <w:ind w:firstLine="600" w:firstLineChars="200"/>
        <w:rPr>
          <w:rFonts w:ascii="Times New Roman" w:hAnsi="黑体" w:eastAsia="黑体"/>
          <w:sz w:val="30"/>
          <w:szCs w:val="24"/>
        </w:rPr>
      </w:pPr>
      <w:r>
        <w:rPr>
          <w:rFonts w:ascii="Times New Roman" w:hAnsi="黑体" w:eastAsia="黑体"/>
          <w:sz w:val="30"/>
          <w:szCs w:val="24"/>
        </w:rPr>
        <w:t>四、自评发现的问题及整改措施</w:t>
      </w:r>
    </w:p>
    <w:p>
      <w:pPr>
        <w:spacing w:line="60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24"/>
          <w:lang w:val="en-US"/>
        </w:rPr>
        <w:t>1</w:t>
      </w:r>
      <w:r>
        <w:rPr>
          <w:rFonts w:hint="eastAsia" w:ascii="仿宋_GB2312" w:hAnsi="仿宋_GB2312" w:eastAsia="仿宋_GB2312" w:cs="仿宋_GB2312"/>
          <w:sz w:val="30"/>
          <w:szCs w:val="24"/>
          <w:lang w:val="en-US" w:eastAsia="zh-CN"/>
        </w:rPr>
        <w:t>.新冠肺炎持续影响，部分项目无法正常开展。</w:t>
      </w:r>
    </w:p>
    <w:p>
      <w:pPr>
        <w:spacing w:line="60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24"/>
          <w:lang w:val="en-US" w:eastAsia="zh-CN"/>
        </w:rPr>
        <w:t>2.资金拨付不能同步项目进展，导致部分项目不能根据工作安排有序开展，限制了项目实施。</w:t>
      </w:r>
    </w:p>
    <w:p>
      <w:pPr>
        <w:spacing w:line="600" w:lineRule="exact"/>
        <w:ind w:firstLine="600" w:firstLineChars="200"/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24"/>
          <w:lang w:val="en-US" w:eastAsia="zh-CN"/>
        </w:rPr>
        <w:t>3.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个别绩效目标无法绝对量化指标，不便深化开展绩效评价。</w:t>
      </w:r>
    </w:p>
    <w:p>
      <w:pPr>
        <w:spacing w:line="600" w:lineRule="exact"/>
        <w:ind w:firstLine="600" w:firstLineChars="200"/>
        <w:rPr>
          <w:rFonts w:ascii="Times New Roman" w:hAnsi="黑体" w:eastAsia="黑体"/>
          <w:sz w:val="30"/>
          <w:szCs w:val="24"/>
        </w:rPr>
      </w:pPr>
      <w:r>
        <w:rPr>
          <w:rFonts w:ascii="Times New Roman" w:hAnsi="黑体" w:eastAsia="黑体"/>
          <w:sz w:val="30"/>
          <w:szCs w:val="24"/>
        </w:rPr>
        <w:t>五、绩效自评工作建议及预算安排建议</w:t>
      </w:r>
    </w:p>
    <w:p>
      <w:pPr>
        <w:spacing w:line="600" w:lineRule="exact"/>
        <w:ind w:firstLine="600" w:firstLineChars="200"/>
        <w:rPr>
          <w:rFonts w:hint="eastAsia" w:ascii="Times New Roman" w:hAnsi="黑体" w:eastAsia="黑体"/>
          <w:sz w:val="30"/>
          <w:szCs w:val="24"/>
          <w:lang w:val="en-US" w:eastAsia="zh-CN"/>
        </w:rPr>
      </w:pPr>
      <w:r>
        <w:rPr>
          <w:rFonts w:hint="eastAsia" w:ascii="Times New Roman" w:hAnsi="黑体" w:eastAsia="黑体"/>
          <w:sz w:val="30"/>
          <w:szCs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0"/>
          <w:szCs w:val="24"/>
          <w:lang w:val="en-US" w:eastAsia="zh-CN"/>
        </w:rPr>
        <w:t>年度预算批复确定项目金额后，建议随同项目开展机动拨付项目资金，有效完成年度项目实施。</w:t>
      </w:r>
    </w:p>
    <w:p>
      <w:pPr>
        <w:spacing w:line="600" w:lineRule="exact"/>
        <w:ind w:firstLine="600" w:firstLineChars="200"/>
        <w:rPr>
          <w:rFonts w:hint="default" w:ascii="Times New Roman" w:hAnsi="黑体" w:eastAsia="黑体"/>
          <w:sz w:val="30"/>
          <w:szCs w:val="24"/>
          <w:lang w:val="en-US" w:eastAsia="zh-CN"/>
        </w:rPr>
      </w:pPr>
      <w:r>
        <w:rPr>
          <w:rFonts w:hint="eastAsia" w:ascii="Times New Roman" w:hAnsi="黑体" w:eastAsia="黑体"/>
          <w:sz w:val="30"/>
          <w:szCs w:val="24"/>
          <w:lang w:val="en-US" w:eastAsia="zh-CN"/>
        </w:rPr>
        <w:t>2.</w:t>
      </w:r>
      <w:r>
        <w:rPr>
          <w:rFonts w:hint="eastAsia" w:ascii="Times New Roman" w:hAnsi="Times New Roman" w:eastAsia="仿宋_GB2312"/>
          <w:bCs/>
          <w:snapToGrid w:val="0"/>
          <w:color w:val="auto"/>
          <w:kern w:val="0"/>
          <w:sz w:val="30"/>
          <w:szCs w:val="30"/>
          <w:lang w:val="en-US" w:eastAsia="zh-CN"/>
        </w:rPr>
        <w:t>在今后的绩效目标设定时，更加贴近项目实际情况，设置更为量化、细化的指标，提高绩效评价的可执行性。</w:t>
      </w:r>
    </w:p>
    <w:p>
      <w:pPr>
        <w:spacing w:line="600" w:lineRule="exact"/>
        <w:ind w:firstLine="600" w:firstLineChars="200"/>
        <w:rPr>
          <w:rFonts w:ascii="Times New Roman" w:hAnsi="黑体" w:eastAsia="黑体"/>
          <w:sz w:val="30"/>
          <w:szCs w:val="24"/>
        </w:rPr>
      </w:pPr>
      <w:r>
        <w:rPr>
          <w:rFonts w:ascii="Times New Roman" w:hAnsi="黑体" w:eastAsia="黑体"/>
          <w:sz w:val="30"/>
          <w:szCs w:val="24"/>
        </w:rPr>
        <w:t>六、其他需要说明的问题</w:t>
      </w:r>
    </w:p>
    <w:p>
      <w:pPr>
        <w:spacing w:line="60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24"/>
          <w:lang w:eastAsia="zh-CN"/>
        </w:rPr>
        <w:t>无</w:t>
      </w:r>
      <w:bookmarkStart w:id="0" w:name="_GoBack"/>
      <w:bookmarkEnd w:id="0"/>
    </w:p>
    <w:p>
      <w:pPr>
        <w:spacing w:line="60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24"/>
          <w:lang w:eastAsia="zh-CN"/>
        </w:rPr>
      </w:pPr>
    </w:p>
    <w:p>
      <w:pPr>
        <w:spacing w:line="600" w:lineRule="exact"/>
        <w:ind w:firstLine="600" w:firstLineChars="200"/>
        <w:rPr>
          <w:rFonts w:hint="default" w:ascii="仿宋_GB2312" w:hAnsi="仿宋_GB2312" w:eastAsia="仿宋_GB2312" w:cs="仿宋_GB2312"/>
          <w:sz w:val="30"/>
          <w:szCs w:val="24"/>
          <w:lang w:val="en-US" w:eastAsia="zh-CN"/>
        </w:rPr>
      </w:pPr>
      <w:r>
        <w:rPr>
          <w:rFonts w:hint="default" w:ascii="仿宋_GB2312" w:hAnsi="仿宋_GB2312" w:eastAsia="仿宋_GB2312" w:cs="仿宋_GB2312"/>
          <w:sz w:val="30"/>
          <w:szCs w:val="24"/>
          <w:lang w:val="en-US" w:eastAsia="zh-CN"/>
        </w:rPr>
        <w:t xml:space="preserve">                              2022</w:t>
      </w:r>
      <w:r>
        <w:rPr>
          <w:rFonts w:hint="eastAsia" w:ascii="仿宋_GB2312" w:hAnsi="仿宋_GB2312" w:eastAsia="仿宋_GB2312" w:cs="仿宋_GB2312"/>
          <w:sz w:val="30"/>
          <w:szCs w:val="24"/>
          <w:lang w:val="en-US" w:eastAsia="zh-CN"/>
        </w:rPr>
        <w:t>年2月11日</w:t>
      </w: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tabs>
          <w:tab w:val="left" w:pos="620"/>
          <w:tab w:val="left" w:pos="2165"/>
        </w:tabs>
        <w:rPr>
          <w:rFonts w:hint="default" w:ascii="Times New Roman" w:hAnsi="Times New Roman" w:eastAsia="仿宋_GB2312"/>
          <w:sz w:val="32"/>
          <w:szCs w:val="32"/>
          <w:lang w:val="en-US"/>
        </w:rPr>
        <w:sectPr>
          <w:footerReference r:id="rId3" w:type="default"/>
          <w:footerReference r:id="rId4" w:type="even"/>
          <w:pgSz w:w="11906" w:h="16838"/>
          <w:pgMar w:top="1418" w:right="1797" w:bottom="1077" w:left="1797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spacing w:line="600" w:lineRule="exact"/>
        <w:ind w:firstLine="64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单位自评</w:t>
      </w:r>
      <w:r>
        <w:rPr>
          <w:rFonts w:ascii="仿宋_GB2312" w:hAnsi="Times New Roman" w:eastAsia="仿宋_GB2312"/>
          <w:bCs/>
          <w:sz w:val="32"/>
          <w:szCs w:val="32"/>
        </w:rPr>
        <w:t>指标</w:t>
      </w:r>
      <w:r>
        <w:rPr>
          <w:rFonts w:hint="eastAsia" w:ascii="仿宋_GB2312" w:hAnsi="Times New Roman" w:eastAsia="仿宋_GB2312"/>
          <w:bCs/>
          <w:sz w:val="32"/>
          <w:szCs w:val="32"/>
        </w:rPr>
        <w:t>是指预算批复时确定的绩效指标，包括项目的产出数量、质量、时效、成本，以及经济效益、社会效益、生态效益、可持续影响、服务对象满意度等。</w:t>
      </w:r>
    </w:p>
    <w:p>
      <w:pPr>
        <w:spacing w:line="600" w:lineRule="exact"/>
        <w:ind w:firstLine="640"/>
        <w:rPr>
          <w:rFonts w:ascii="仿宋_GB2312" w:hAnsi="Times New Roman" w:eastAsia="仿宋_GB2312"/>
          <w:b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单位自评指标的权重由各单位根据项目实际情况确定。原则上预算执行率和一级指标权重统一设置为:预算执行率</w:t>
      </w:r>
      <w:r>
        <w:rPr>
          <w:rFonts w:ascii="仿宋_GB2312" w:hAnsi="Times New Roman" w:eastAsia="仿宋_GB2312"/>
          <w:bCs/>
          <w:sz w:val="32"/>
          <w:szCs w:val="32"/>
        </w:rPr>
        <w:t>10</w:t>
      </w:r>
      <w:r>
        <w:rPr>
          <w:rFonts w:hint="eastAsia" w:ascii="仿宋_GB2312" w:hAnsi="Times New Roman" w:eastAsia="仿宋_GB2312"/>
          <w:bCs/>
          <w:sz w:val="32"/>
          <w:szCs w:val="32"/>
        </w:rPr>
        <w:t>%、产出指标50%、效益指标30%、服务对象满意度指标10%。如有特殊情况，一级指标权重可做适当调整。二、三级指标应当根据指标重要程度、项目实施阶段等因素综合确定，准确反映项目的</w:t>
      </w:r>
      <w:r>
        <w:rPr>
          <w:rFonts w:ascii="仿宋_GB2312" w:hAnsi="Times New Roman" w:eastAsia="仿宋_GB2312"/>
          <w:bCs/>
          <w:sz w:val="32"/>
          <w:szCs w:val="32"/>
        </w:rPr>
        <w:t>产出和效</w:t>
      </w:r>
      <w:r>
        <w:rPr>
          <w:rFonts w:hint="eastAsia" w:ascii="仿宋_GB2312" w:hAnsi="Times New Roman" w:eastAsia="仿宋_GB2312"/>
          <w:bCs/>
          <w:sz w:val="32"/>
          <w:szCs w:val="32"/>
        </w:rPr>
        <w:t>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2 -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E017C"/>
    <w:rsid w:val="0C517CBE"/>
    <w:rsid w:val="26297CFF"/>
    <w:rsid w:val="2A2E017C"/>
    <w:rsid w:val="416062A3"/>
    <w:rsid w:val="41FA398E"/>
    <w:rsid w:val="43BB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2020-10-30T01:18:00Z</dcterms:created>
  <dc:creator>Jessica’M</dc:creator>
  <cp:lastModifiedBy>未</cp:lastModifiedBy>
  <cp:lastPrinted>2022-02-13T07:20:29Z</cp:lastPrinted>
  <dcterms:modified xsi:type="dcterms:W3CDTF">2022-02-13T07:22:14Z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73F13323022A4971BEF1AE4EA4CF67C7</vt:lpwstr>
  </property>
</Properties>
</file>