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Arial" w:eastAsia="方正小标宋简体" w:cs="Arial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0"/>
          <w:szCs w:val="24"/>
        </w:rPr>
        <w:t xml:space="preserve">        </w:t>
      </w:r>
    </w:p>
    <w:p>
      <w:pPr>
        <w:spacing w:line="600" w:lineRule="exact"/>
        <w:jc w:val="center"/>
        <w:rPr>
          <w:rFonts w:ascii="宋体" w:hAnsi="宋体" w:cs="Arial"/>
          <w:b/>
          <w:bCs/>
          <w:sz w:val="36"/>
          <w:szCs w:val="36"/>
        </w:rPr>
      </w:pPr>
      <w:r>
        <w:rPr>
          <w:rFonts w:hint="eastAsia" w:ascii="宋体" w:hAnsi="宋体" w:cs="Arial"/>
          <w:b/>
          <w:bCs/>
          <w:sz w:val="36"/>
          <w:szCs w:val="36"/>
        </w:rPr>
        <w:t>部门项目支出绩效自评总结报告</w:t>
      </w:r>
    </w:p>
    <w:p>
      <w:pPr>
        <w:spacing w:line="600" w:lineRule="exact"/>
        <w:jc w:val="center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（参考提纲）</w:t>
      </w:r>
    </w:p>
    <w:p>
      <w:pPr>
        <w:spacing w:line="600" w:lineRule="exact"/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24"/>
        </w:rPr>
      </w:pPr>
      <w:r>
        <w:rPr>
          <w:rFonts w:hint="eastAsia" w:ascii="黑体" w:hAnsi="黑体" w:eastAsia="黑体"/>
          <w:sz w:val="30"/>
          <w:szCs w:val="24"/>
        </w:rPr>
        <w:t>一、项目支出基本情况</w:t>
      </w:r>
    </w:p>
    <w:p>
      <w:pPr>
        <w:spacing w:line="600" w:lineRule="exact"/>
        <w:ind w:firstLine="640" w:firstLineChars="200"/>
        <w:outlineLvl w:val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包括本部门项目支出构成情况，总体预算和执行情况等。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24"/>
        </w:rPr>
      </w:pPr>
      <w:r>
        <w:rPr>
          <w:rFonts w:hint="eastAsia" w:ascii="黑体" w:hAnsi="黑体" w:eastAsia="黑体"/>
          <w:sz w:val="30"/>
          <w:szCs w:val="24"/>
        </w:rPr>
        <w:t>二、绩效自评工作开展情况</w:t>
      </w:r>
    </w:p>
    <w:p>
      <w:pPr>
        <w:spacing w:line="600" w:lineRule="exact"/>
        <w:ind w:firstLine="640" w:firstLineChars="200"/>
        <w:outlineLvl w:val="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包括绩效自评覆盖情况，</w:t>
      </w:r>
      <w:r>
        <w:rPr>
          <w:rFonts w:ascii="仿宋_GB2312" w:hAnsi="Times New Roman" w:eastAsia="仿宋_GB2312"/>
          <w:sz w:val="32"/>
          <w:szCs w:val="32"/>
        </w:rPr>
        <w:t>组织开展</w:t>
      </w:r>
      <w:r>
        <w:rPr>
          <w:rFonts w:hint="eastAsia" w:ascii="仿宋_GB2312" w:hAnsi="Times New Roman" w:eastAsia="仿宋_GB2312"/>
          <w:sz w:val="32"/>
          <w:szCs w:val="32"/>
        </w:rPr>
        <w:t>程序，责任单位和参与机构等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24"/>
        </w:rPr>
      </w:pPr>
      <w:r>
        <w:rPr>
          <w:rFonts w:hint="eastAsia" w:ascii="黑体" w:hAnsi="黑体" w:eastAsia="黑体"/>
          <w:sz w:val="30"/>
          <w:szCs w:val="24"/>
        </w:rPr>
        <w:t>三、</w:t>
      </w:r>
      <w:r>
        <w:rPr>
          <w:rFonts w:ascii="黑体" w:hAnsi="黑体" w:eastAsia="黑体"/>
          <w:sz w:val="30"/>
          <w:szCs w:val="24"/>
        </w:rPr>
        <w:t>绩效自评</w:t>
      </w:r>
      <w:r>
        <w:rPr>
          <w:rFonts w:hint="eastAsia" w:ascii="黑体" w:hAnsi="黑体" w:eastAsia="黑体"/>
          <w:sz w:val="30"/>
          <w:szCs w:val="24"/>
        </w:rPr>
        <w:t>结果及分析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包括</w:t>
      </w:r>
      <w:r>
        <w:rPr>
          <w:rFonts w:hint="eastAsia" w:ascii="仿宋_GB2312" w:hAnsi="Times New Roman" w:eastAsia="仿宋_GB2312"/>
          <w:sz w:val="32"/>
          <w:szCs w:val="32"/>
        </w:rPr>
        <w:t>项目支出</w:t>
      </w:r>
      <w:r>
        <w:rPr>
          <w:rFonts w:ascii="仿宋_GB2312" w:hAnsi="Times New Roman" w:eastAsia="仿宋_GB2312"/>
          <w:sz w:val="32"/>
          <w:szCs w:val="32"/>
        </w:rPr>
        <w:t>单位自评分数情况</w:t>
      </w:r>
      <w:r>
        <w:rPr>
          <w:rFonts w:hint="eastAsia" w:ascii="仿宋_GB2312" w:hAnsi="Times New Roman" w:eastAsia="仿宋_GB2312"/>
          <w:sz w:val="32"/>
          <w:szCs w:val="32"/>
        </w:rPr>
        <w:t>及</w:t>
      </w:r>
      <w:r>
        <w:rPr>
          <w:rFonts w:ascii="仿宋_GB2312" w:hAnsi="Times New Roman" w:eastAsia="仿宋_GB2312"/>
          <w:sz w:val="32"/>
          <w:szCs w:val="32"/>
        </w:rPr>
        <w:t>分析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绩效指标</w:t>
      </w:r>
      <w:r>
        <w:rPr>
          <w:rFonts w:hint="eastAsia" w:ascii="仿宋_GB2312" w:hAnsi="Times New Roman" w:eastAsia="仿宋_GB2312"/>
          <w:sz w:val="32"/>
          <w:szCs w:val="32"/>
        </w:rPr>
        <w:t>完成情况及分析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预算执行</w:t>
      </w:r>
      <w:r>
        <w:rPr>
          <w:rFonts w:ascii="仿宋_GB2312" w:hAnsi="Times New Roman" w:eastAsia="仿宋_GB2312"/>
          <w:sz w:val="32"/>
          <w:szCs w:val="32"/>
        </w:rPr>
        <w:t>情况</w:t>
      </w:r>
      <w:r>
        <w:rPr>
          <w:rFonts w:hint="eastAsia" w:ascii="仿宋_GB2312" w:hAnsi="Times New Roman" w:eastAsia="仿宋_GB2312"/>
          <w:sz w:val="32"/>
          <w:szCs w:val="32"/>
        </w:rPr>
        <w:t>分析等，对绩效目标没有</w:t>
      </w:r>
      <w:r>
        <w:rPr>
          <w:rFonts w:ascii="仿宋_GB2312" w:hAnsi="Times New Roman" w:eastAsia="仿宋_GB2312"/>
          <w:sz w:val="32"/>
          <w:szCs w:val="32"/>
        </w:rPr>
        <w:t>完成</w:t>
      </w:r>
      <w:r>
        <w:rPr>
          <w:rFonts w:hint="eastAsia" w:ascii="仿宋_GB2312" w:hAnsi="Times New Roman" w:eastAsia="仿宋_GB2312"/>
          <w:sz w:val="32"/>
          <w:szCs w:val="32"/>
        </w:rPr>
        <w:t>的</w:t>
      </w:r>
      <w:r>
        <w:rPr>
          <w:rFonts w:ascii="仿宋_GB2312" w:hAnsi="Times New Roman" w:eastAsia="仿宋_GB2312"/>
          <w:sz w:val="32"/>
          <w:szCs w:val="32"/>
        </w:rPr>
        <w:t>项目</w:t>
      </w:r>
      <w:r>
        <w:rPr>
          <w:rFonts w:hint="eastAsia" w:ascii="仿宋_GB2312" w:hAnsi="Times New Roman" w:eastAsia="仿宋_GB2312"/>
          <w:sz w:val="32"/>
          <w:szCs w:val="32"/>
        </w:rPr>
        <w:t>、绩效指标没有情况</w:t>
      </w:r>
      <w:r>
        <w:rPr>
          <w:rFonts w:ascii="仿宋_GB2312" w:hAnsi="Times New Roman" w:eastAsia="仿宋_GB2312"/>
          <w:sz w:val="32"/>
          <w:szCs w:val="32"/>
        </w:rPr>
        <w:t>存在偏差（</w:t>
      </w:r>
      <w:r>
        <w:rPr>
          <w:rFonts w:hint="eastAsia" w:ascii="仿宋_GB2312" w:hAnsi="Times New Roman" w:eastAsia="仿宋_GB2312"/>
          <w:sz w:val="32"/>
          <w:szCs w:val="32"/>
        </w:rPr>
        <w:t>没有</w:t>
      </w:r>
      <w:r>
        <w:rPr>
          <w:rFonts w:ascii="仿宋_GB2312" w:hAnsi="Times New Roman" w:eastAsia="仿宋_GB2312"/>
          <w:sz w:val="32"/>
          <w:szCs w:val="32"/>
        </w:rPr>
        <w:t>完成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ascii="仿宋_GB2312" w:hAnsi="Times New Roman" w:eastAsia="仿宋_GB2312"/>
          <w:sz w:val="32"/>
          <w:szCs w:val="32"/>
        </w:rPr>
        <w:t>超额完成）的</w:t>
      </w:r>
      <w:r>
        <w:rPr>
          <w:rFonts w:hint="eastAsia" w:ascii="仿宋_GB2312" w:hAnsi="Times New Roman" w:eastAsia="仿宋_GB2312"/>
          <w:sz w:val="32"/>
          <w:szCs w:val="32"/>
        </w:rPr>
        <w:t>，要分析</w:t>
      </w:r>
      <w:r>
        <w:rPr>
          <w:rFonts w:ascii="仿宋_GB2312" w:hAnsi="Times New Roman" w:eastAsia="仿宋_GB2312"/>
          <w:sz w:val="32"/>
          <w:szCs w:val="32"/>
        </w:rPr>
        <w:t>原因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24"/>
        </w:rPr>
      </w:pPr>
      <w:r>
        <w:rPr>
          <w:rFonts w:hint="eastAsia" w:ascii="黑体" w:hAnsi="黑体" w:eastAsia="黑体"/>
          <w:sz w:val="30"/>
          <w:szCs w:val="24"/>
        </w:rPr>
        <w:t>四、自评发现的问题及</w:t>
      </w:r>
      <w:r>
        <w:rPr>
          <w:rFonts w:ascii="黑体" w:hAnsi="黑体" w:eastAsia="黑体"/>
          <w:sz w:val="30"/>
          <w:szCs w:val="24"/>
        </w:rPr>
        <w:t>整改措施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24"/>
        </w:rPr>
      </w:pPr>
      <w:r>
        <w:rPr>
          <w:rFonts w:hint="eastAsia" w:ascii="黑体" w:hAnsi="黑体" w:eastAsia="黑体"/>
          <w:sz w:val="30"/>
          <w:szCs w:val="24"/>
        </w:rPr>
        <w:t>五、绩效自评</w:t>
      </w:r>
      <w:r>
        <w:rPr>
          <w:rFonts w:ascii="黑体" w:hAnsi="黑体" w:eastAsia="黑体"/>
          <w:sz w:val="30"/>
          <w:szCs w:val="24"/>
        </w:rPr>
        <w:t>工作建议</w:t>
      </w:r>
      <w:r>
        <w:rPr>
          <w:rFonts w:hint="eastAsia" w:ascii="黑体" w:hAnsi="黑体" w:eastAsia="黑体"/>
          <w:sz w:val="30"/>
          <w:szCs w:val="24"/>
        </w:rPr>
        <w:t>及</w:t>
      </w:r>
      <w:r>
        <w:rPr>
          <w:rFonts w:ascii="黑体" w:hAnsi="黑体" w:eastAsia="黑体"/>
          <w:sz w:val="30"/>
          <w:szCs w:val="24"/>
        </w:rPr>
        <w:t>预算安排建议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24"/>
        </w:rPr>
      </w:pPr>
      <w:r>
        <w:rPr>
          <w:rFonts w:hint="eastAsia" w:ascii="黑体" w:hAnsi="黑体" w:eastAsia="黑体"/>
          <w:sz w:val="30"/>
          <w:szCs w:val="24"/>
        </w:rPr>
        <w:t>六</w:t>
      </w:r>
      <w:r>
        <w:rPr>
          <w:rFonts w:ascii="黑体" w:hAnsi="黑体" w:eastAsia="黑体"/>
          <w:sz w:val="30"/>
          <w:szCs w:val="24"/>
        </w:rPr>
        <w:t>、</w:t>
      </w:r>
      <w:r>
        <w:rPr>
          <w:rFonts w:hint="eastAsia" w:ascii="黑体" w:hAnsi="黑体" w:eastAsia="黑体"/>
          <w:sz w:val="30"/>
          <w:szCs w:val="24"/>
        </w:rPr>
        <w:t>其他需要说明的问题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620"/>
        </w:tabs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797" w:bottom="1077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firstLine="64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单位自评</w:t>
      </w:r>
      <w:r>
        <w:rPr>
          <w:rFonts w:ascii="仿宋_GB2312" w:hAnsi="Times New Roman" w:eastAsia="仿宋_GB2312"/>
          <w:bCs/>
          <w:sz w:val="32"/>
          <w:szCs w:val="32"/>
        </w:rPr>
        <w:t>指标</w:t>
      </w:r>
      <w:r>
        <w:rPr>
          <w:rFonts w:hint="eastAsia" w:ascii="仿宋_GB2312" w:hAnsi="Times New Roman" w:eastAsia="仿宋_GB2312"/>
          <w:bCs/>
          <w:sz w:val="32"/>
          <w:szCs w:val="32"/>
        </w:rPr>
        <w:t>是指预算批复时确定的绩效指标，包括项目的产出数量、质量、时效、成本，以及经济效益、社会效益、生态效益、可持续影响、服务对象满意度等。</w:t>
      </w:r>
    </w:p>
    <w:p>
      <w:pPr>
        <w:spacing w:line="600" w:lineRule="exact"/>
        <w:ind w:firstLine="64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单位自评指标的权重由各单位根据项目实际情况确定。原则上预算执行率和一级指标权重统一设置为:预算执行率</w:t>
      </w:r>
      <w:r>
        <w:rPr>
          <w:rFonts w:ascii="仿宋_GB2312" w:hAnsi="Times New Roman" w:eastAsia="仿宋_GB2312"/>
          <w:bCs/>
          <w:sz w:val="32"/>
          <w:szCs w:val="32"/>
        </w:rPr>
        <w:t>10</w:t>
      </w:r>
      <w:r>
        <w:rPr>
          <w:rFonts w:hint="eastAsia" w:ascii="仿宋_GB2312" w:hAnsi="Times New Roman" w:eastAsia="仿宋_GB2312"/>
          <w:bCs/>
          <w:sz w:val="32"/>
          <w:szCs w:val="32"/>
        </w:rPr>
        <w:t>%、产出指标50%、效益指标30%、服务对象满意度指标10%。如有特殊情况，一级指标权重可做适当调整。二、三级指标应当根据指标重要程度、项目实施阶段等因素综合确定，准确反映项目的</w:t>
      </w:r>
      <w:r>
        <w:rPr>
          <w:rFonts w:ascii="仿宋_GB2312" w:hAnsi="Times New Roman" w:eastAsia="仿宋_GB2312"/>
          <w:bCs/>
          <w:sz w:val="32"/>
          <w:szCs w:val="32"/>
        </w:rPr>
        <w:t>产出和效</w:t>
      </w:r>
      <w:r>
        <w:rPr>
          <w:rFonts w:hint="eastAsia" w:ascii="仿宋_GB2312" w:hAnsi="Times New Roman" w:eastAsia="仿宋_GB2312"/>
          <w:bCs/>
          <w:sz w:val="32"/>
          <w:szCs w:val="32"/>
        </w:rPr>
        <w:t>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E017C"/>
    <w:rsid w:val="2A2E017C"/>
    <w:rsid w:val="416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2020-10-30T01:18:00Z</dcterms:created>
  <dc:creator>Jessica’M</dc:creator>
  <cp:lastModifiedBy>Jessica’M</cp:lastModifiedBy>
  <cp:lastPrinted>2022-01-14T07:48:35Z</cp:lastPrinted>
  <dcterms:modified xsi:type="dcterms:W3CDTF">2022-01-14T07:49:30Z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73F13323022A4971BEF1AE4EA4CF67C7</vt:lpwstr>
  </property>
</Properties>
</file>