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highlight w:val="none"/>
          <w:lang w:eastAsia="zh-CN"/>
        </w:rPr>
        <w:t>濮阳市科学技术局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highlight w:val="none"/>
          <w:lang w:val="en-US" w:eastAsia="zh-CN"/>
        </w:rPr>
        <w:t>2021年部门预算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highlight w:val="none"/>
        </w:rPr>
        <w:t>项目支出绩效自评总结报告</w:t>
      </w:r>
    </w:p>
    <w:p>
      <w:pPr>
        <w:spacing w:line="600" w:lineRule="exact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</w:p>
    <w:p>
      <w:pPr>
        <w:spacing w:line="600" w:lineRule="exact"/>
        <w:ind w:firstLine="600" w:firstLineChars="200"/>
        <w:rPr>
          <w:rFonts w:ascii="Times New Roman" w:hAnsi="Times New Roman" w:eastAsia="黑体"/>
          <w:sz w:val="30"/>
          <w:szCs w:val="24"/>
          <w:highlight w:val="none"/>
        </w:rPr>
      </w:pPr>
      <w:r>
        <w:rPr>
          <w:rFonts w:hint="eastAsia" w:ascii="Times New Roman" w:hAnsi="Times New Roman" w:eastAsia="黑体"/>
          <w:sz w:val="30"/>
          <w:szCs w:val="24"/>
          <w:highlight w:val="none"/>
        </w:rPr>
        <w:t>一、项目支出基本情况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按照全面实施绩效管理的规定，濮阳市科学技术局对本部门及所属预算单位的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个项目进行了绩效自评，预算资金共计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4827.5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2999.5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万元。项目的具体情况是：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科技计划项目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预算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1000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1030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万元，预算执行率为10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%；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2、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高新技术企业认定奖补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预算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580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280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万元，预算执行率为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48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%；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企业研发补助预算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1500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万元，支出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502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万元，预算执行率为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33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%；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4、科技创新体系建设专项预算500万元，支出840万元，预算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执行率为1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68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；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5、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科技基础条件专项预算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45万元，支出45万元，预算执行率100%；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6、人才发展及干部教育培训专项-市科技人才专项奖补资金预算582.5万元，支出282.5万元，预算执行率48%；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7、科技创新型企业培育综合服务项目预算20万元，支出20万元，预算执行率100%；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8、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重大科技项目“揭榜挂帅”预算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600万元，支出0万元，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eastAsia="zh-CN"/>
        </w:rPr>
        <w:t>因“揭榜挂帅”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管理办法年底才出台，该项目当年未组织实施，需结转下年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eastAsia="zh-CN"/>
        </w:rPr>
        <w:t>。</w:t>
      </w:r>
    </w:p>
    <w:p>
      <w:pPr>
        <w:spacing w:line="600" w:lineRule="exact"/>
        <w:ind w:firstLine="600" w:firstLineChars="200"/>
        <w:rPr>
          <w:rFonts w:ascii="Times New Roman" w:hAnsi="Times New Roman" w:eastAsia="黑体"/>
          <w:sz w:val="30"/>
          <w:szCs w:val="24"/>
          <w:highlight w:val="none"/>
        </w:rPr>
      </w:pPr>
      <w:r>
        <w:rPr>
          <w:rFonts w:hint="eastAsia" w:ascii="Times New Roman" w:hAnsi="Times New Roman" w:eastAsia="黑体"/>
          <w:sz w:val="30"/>
          <w:szCs w:val="24"/>
          <w:highlight w:val="none"/>
        </w:rPr>
        <w:t>二、绩效自评工作开展情况</w:t>
      </w:r>
      <w:bookmarkStart w:id="0" w:name="_GoBack"/>
      <w:bookmarkEnd w:id="0"/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按照市财政局安排部署，我局高度重视项目绩效评价工作，明确分管领导、牵头科室专门负责此项工作。按照相关规定，围绕绩效目标实现程度和预算执行进度两个核心内容，对202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个项目绩效目标完成情况、项目实施情况、预算执行情况等开展绩效评价，绩效自评覆盖率100%。</w:t>
      </w:r>
    </w:p>
    <w:p>
      <w:pPr>
        <w:spacing w:line="600" w:lineRule="exact"/>
        <w:ind w:firstLine="600" w:firstLineChars="200"/>
        <w:outlineLvl w:val="0"/>
        <w:rPr>
          <w:rFonts w:ascii="Times New Roman" w:hAnsi="Times New Roman" w:eastAsia="黑体"/>
          <w:sz w:val="30"/>
          <w:szCs w:val="24"/>
          <w:highlight w:val="none"/>
        </w:rPr>
      </w:pPr>
      <w:r>
        <w:rPr>
          <w:rFonts w:hint="eastAsia" w:ascii="Times New Roman" w:hAnsi="Times New Roman" w:eastAsia="黑体"/>
          <w:sz w:val="30"/>
          <w:szCs w:val="24"/>
          <w:highlight w:val="none"/>
        </w:rPr>
        <w:t>三、</w:t>
      </w:r>
      <w:r>
        <w:rPr>
          <w:rFonts w:ascii="Times New Roman" w:hAnsi="Times New Roman" w:eastAsia="黑体"/>
          <w:sz w:val="30"/>
          <w:szCs w:val="24"/>
          <w:highlight w:val="none"/>
        </w:rPr>
        <w:t>绩效自评</w:t>
      </w:r>
      <w:r>
        <w:rPr>
          <w:rFonts w:hint="eastAsia" w:ascii="Times New Roman" w:hAnsi="Times New Roman" w:eastAsia="黑体"/>
          <w:sz w:val="30"/>
          <w:szCs w:val="24"/>
          <w:highlight w:val="none"/>
        </w:rPr>
        <w:t>结果及分析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包括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项目支出</w:t>
      </w:r>
      <w:r>
        <w:rPr>
          <w:rFonts w:ascii="Times New Roman" w:hAnsi="Times New Roman" w:eastAsia="仿宋_GB2312"/>
          <w:sz w:val="32"/>
          <w:szCs w:val="32"/>
          <w:highlight w:val="none"/>
        </w:rPr>
        <w:t>单位自评分数情况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及</w:t>
      </w:r>
      <w:r>
        <w:rPr>
          <w:rFonts w:ascii="Times New Roman" w:hAnsi="Times New Roman" w:eastAsia="仿宋_GB2312"/>
          <w:sz w:val="32"/>
          <w:szCs w:val="32"/>
          <w:highlight w:val="none"/>
        </w:rPr>
        <w:t>分析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，</w:t>
      </w:r>
      <w:r>
        <w:rPr>
          <w:rFonts w:ascii="Times New Roman" w:hAnsi="Times New Roman" w:eastAsia="仿宋_GB2312"/>
          <w:sz w:val="32"/>
          <w:szCs w:val="32"/>
          <w:highlight w:val="none"/>
        </w:rPr>
        <w:t>绩效指标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完成情况及分析</w:t>
      </w:r>
      <w:r>
        <w:rPr>
          <w:rFonts w:ascii="Times New Roman" w:hAnsi="Times New Roman" w:eastAsia="仿宋_GB2312"/>
          <w:sz w:val="32"/>
          <w:szCs w:val="32"/>
          <w:highlight w:val="none"/>
        </w:rPr>
        <w:t>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预算执行</w:t>
      </w:r>
      <w:r>
        <w:rPr>
          <w:rFonts w:ascii="Times New Roman" w:hAnsi="Times New Roman" w:eastAsia="仿宋_GB2312"/>
          <w:sz w:val="32"/>
          <w:szCs w:val="32"/>
          <w:highlight w:val="none"/>
        </w:rPr>
        <w:t>情况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分析等，对绩效目标没有</w:t>
      </w:r>
      <w:r>
        <w:rPr>
          <w:rFonts w:ascii="Times New Roman" w:hAnsi="Times New Roman" w:eastAsia="仿宋_GB2312"/>
          <w:sz w:val="32"/>
          <w:szCs w:val="32"/>
          <w:highlight w:val="none"/>
        </w:rPr>
        <w:t>完成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的</w:t>
      </w:r>
      <w:r>
        <w:rPr>
          <w:rFonts w:ascii="Times New Roman" w:hAnsi="Times New Roman" w:eastAsia="仿宋_GB2312"/>
          <w:sz w:val="32"/>
          <w:szCs w:val="32"/>
          <w:highlight w:val="none"/>
        </w:rPr>
        <w:t>项目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、绩效指标没有情况</w:t>
      </w:r>
      <w:r>
        <w:rPr>
          <w:rFonts w:ascii="Times New Roman" w:hAnsi="Times New Roman" w:eastAsia="仿宋_GB2312"/>
          <w:sz w:val="32"/>
          <w:szCs w:val="32"/>
          <w:highlight w:val="none"/>
        </w:rPr>
        <w:t>存在偏差（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没有</w:t>
      </w:r>
      <w:r>
        <w:rPr>
          <w:rFonts w:ascii="Times New Roman" w:hAnsi="Times New Roman" w:eastAsia="仿宋_GB2312"/>
          <w:sz w:val="32"/>
          <w:szCs w:val="32"/>
          <w:highlight w:val="none"/>
        </w:rPr>
        <w:t>完成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、</w:t>
      </w:r>
      <w:r>
        <w:rPr>
          <w:rFonts w:ascii="Times New Roman" w:hAnsi="Times New Roman" w:eastAsia="仿宋_GB2312"/>
          <w:sz w:val="32"/>
          <w:szCs w:val="32"/>
          <w:highlight w:val="none"/>
        </w:rPr>
        <w:t>超额完成）的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，要分析</w:t>
      </w:r>
      <w:r>
        <w:rPr>
          <w:rFonts w:ascii="Times New Roman" w:hAnsi="Times New Roman" w:eastAsia="仿宋_GB2312"/>
          <w:sz w:val="32"/>
          <w:szCs w:val="32"/>
          <w:highlight w:val="none"/>
        </w:rPr>
        <w:t>原因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。</w:t>
      </w:r>
    </w:p>
    <w:p>
      <w:pPr>
        <w:spacing w:line="600" w:lineRule="exact"/>
        <w:ind w:firstLine="642" w:firstLineChars="200"/>
        <w:rPr>
          <w:rFonts w:hint="eastAsia" w:ascii="Times New Roman" w:hAnsi="Times New Roman" w:eastAsia="楷体" w:cs="楷体"/>
          <w:b/>
          <w:bCs/>
          <w:sz w:val="32"/>
          <w:szCs w:val="32"/>
          <w:highlight w:val="none"/>
        </w:rPr>
      </w:pPr>
      <w:r>
        <w:rPr>
          <w:rFonts w:hint="eastAsia" w:ascii="Times New Roman" w:hAnsi="Times New Roman" w:eastAsia="楷体" w:cs="楷体"/>
          <w:b/>
          <w:bCs/>
          <w:sz w:val="32"/>
          <w:szCs w:val="32"/>
          <w:highlight w:val="none"/>
        </w:rPr>
        <w:t>（一）总体情况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从绩效目标实现程度看，我局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个项目绩效目标实现程度整体较好。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个项目年初共设置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93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个绩效指标，指标已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eastAsia="zh-CN"/>
        </w:rPr>
        <w:t>完成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91个；1个项目因管理办法年底出台，当年无法完成项目的组织实施，需结转下年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从预算执行程度看，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个项目预算执行率平均为8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%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；1个项目因管理办法年底出台，当年无法完成项目的组织实施，需结转下年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。其中，预算执行率为100%的项目2个，预算执行率超100%的项目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个，预算执行率低于100%的项目3个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，结转下年项目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1个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。</w:t>
      </w:r>
    </w:p>
    <w:p>
      <w:pPr>
        <w:spacing w:line="600" w:lineRule="exact"/>
        <w:ind w:firstLine="642" w:firstLineChars="200"/>
        <w:rPr>
          <w:rFonts w:hint="eastAsia" w:ascii="楷体" w:hAnsi="楷体" w:eastAsia="楷体" w:cs="楷体"/>
          <w:b/>
          <w:bCs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highlight w:val="none"/>
        </w:rPr>
        <w:t>（二）分项目情况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科技计划项目。年初共设置绩效指标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个，已完成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个，占100%。预算执行率为10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2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高新技术企业认定奖补。年初共设置绩效指标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个，已完成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个，占100%。预算执行率为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48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%，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原因是该资金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eastAsia="zh-CN"/>
        </w:rPr>
        <w:t>属于后补助资金，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用于奖励首次认定的高新技术企业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eastAsia="zh-CN"/>
        </w:rPr>
        <w:t>和连续三年通过认定的高新技术企业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，年初编制预算时尚无法确定需奖补企业的数量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所安排经费额度为预计数，因此预算数与实际支出数稍有偏差。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企业研发财政补助。年初共设置绩效指标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个，已完成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个，占100%。预算执行率为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34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%，原因是该资金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属于后补助资金，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是按一定比例奖励经审核的企业研发费用，年初编制预算时尚无法确定需奖补企业的数量及经费额度，所安排经费额度为预计数，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同时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2021年省降低了补助比例，仅按应补助额的65%进行补助，市补助根据省补助额度确定，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因此预算数与实际支出数稍有偏差。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4、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科技基础条件专项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。年初共设置绩效指标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个，已完成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个，占100%。预算执行率为100%。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5、科技创新体系建设专项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。年初共设置绩效指标1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个，已完成1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个，占100 %。预算执行率为1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68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%，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原因是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eastAsia="zh-CN"/>
        </w:rPr>
        <w:t>该资金用于奖补省、市级创新平台，年初预算时尚无法确定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2021年新建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eastAsia="zh-CN"/>
        </w:rPr>
        <w:t>平台数量，因此预算数与实际支出数稍有偏差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6、市科技人才专项奖补项目。年初共设置绩效指标9个，已完成9个，占100%。预算执行率为48%，原因是预算额度为组织部门确定，该资金属于后补助资金，年初也无法准确确定奖补对象，因此预算数与实际支出数稍有偏差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7、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eastAsia="zh-CN"/>
        </w:rPr>
        <w:t>科技创新型企业培育综合服务项目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。年初共设置绩效指标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19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个，已完成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17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个，占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89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%。预算执行率为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8、重大科技项目“揭榜挂帅”。年初共设置绩效指标12个，预算600万元，经费需结转下年，原因是揭榜挂帅项目需依据相应管理办法组织实施，2021年11月24日市政府印发出台了揭榜挂帅暂行办法。依据办法规定，2021年12月科技局、财政局组织完成了需求征集，根据工作实际，论证遴选、发布榜单、揭榜评审、资金拨付等将于2022年进行，资金也将于2022年完成支付。</w:t>
      </w:r>
    </w:p>
    <w:p>
      <w:pPr>
        <w:spacing w:line="600" w:lineRule="exact"/>
        <w:ind w:firstLine="600" w:firstLineChars="200"/>
        <w:rPr>
          <w:rFonts w:ascii="Times New Roman" w:hAnsi="Times New Roman" w:eastAsia="黑体"/>
          <w:sz w:val="30"/>
          <w:szCs w:val="24"/>
          <w:highlight w:val="none"/>
        </w:rPr>
      </w:pPr>
      <w:r>
        <w:rPr>
          <w:rFonts w:hint="eastAsia" w:ascii="Times New Roman" w:hAnsi="Times New Roman" w:eastAsia="黑体"/>
          <w:sz w:val="30"/>
          <w:szCs w:val="24"/>
          <w:highlight w:val="none"/>
        </w:rPr>
        <w:t>四、自评发现的问题及</w:t>
      </w:r>
      <w:r>
        <w:rPr>
          <w:rFonts w:ascii="Times New Roman" w:hAnsi="Times New Roman" w:eastAsia="黑体"/>
          <w:sz w:val="30"/>
          <w:szCs w:val="24"/>
          <w:highlight w:val="none"/>
        </w:rPr>
        <w:t>整改措施</w:t>
      </w:r>
    </w:p>
    <w:p>
      <w:pPr>
        <w:spacing w:line="600" w:lineRule="exact"/>
        <w:ind w:firstLine="640"/>
        <w:rPr>
          <w:rFonts w:hint="eastAsia" w:ascii="Times New Roman" w:hAnsi="Times New Roman" w:eastAsia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bCs/>
          <w:sz w:val="32"/>
          <w:szCs w:val="32"/>
          <w:highlight w:val="none"/>
          <w:lang w:val="en-US" w:eastAsia="zh-CN"/>
        </w:rPr>
        <w:t>通过自评发现的问题主要有：</w:t>
      </w:r>
    </w:p>
    <w:p>
      <w:pPr>
        <w:spacing w:line="600" w:lineRule="exact"/>
        <w:ind w:firstLine="640"/>
        <w:rPr>
          <w:rFonts w:hint="default" w:ascii="Times New Roman" w:hAnsi="Times New Roman" w:eastAsia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bCs/>
          <w:sz w:val="32"/>
          <w:szCs w:val="32"/>
          <w:highlight w:val="none"/>
          <w:lang w:val="en-US" w:eastAsia="zh-CN"/>
        </w:rPr>
        <w:t>1、项目绩效目标编制质量有待进一步提高，如产出指标中数量指标、质量指标、时效指标、成本指标之间无对应关系，相互独立。今后，将加强对绩效管理政策学习，提高绩效指标的科学性、合理性、可操作性。</w:t>
      </w:r>
    </w:p>
    <w:p>
      <w:pPr>
        <w:spacing w:line="600" w:lineRule="exact"/>
        <w:ind w:firstLine="640"/>
        <w:rPr>
          <w:rFonts w:hint="eastAsia" w:ascii="Times New Roman" w:hAnsi="Times New Roman" w:eastAsia="仿宋_GB2312"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/>
          <w:bCs/>
          <w:sz w:val="32"/>
          <w:szCs w:val="32"/>
          <w:highlight w:val="none"/>
          <w:lang w:val="en-US" w:eastAsia="zh-CN"/>
        </w:rPr>
        <w:t>2、部分项目预算与预算执行稍有偏差问题。主要是由于</w:t>
      </w:r>
      <w:r>
        <w:rPr>
          <w:rFonts w:hint="eastAsia" w:ascii="Times New Roman" w:hAnsi="Times New Roman" w:eastAsia="仿宋_GB2312"/>
          <w:bCs/>
          <w:sz w:val="32"/>
          <w:szCs w:val="32"/>
          <w:highlight w:val="none"/>
          <w:lang w:eastAsia="zh-CN"/>
        </w:rPr>
        <w:t>高新技术企业认定奖补</w:t>
      </w:r>
      <w:r>
        <w:rPr>
          <w:rFonts w:hint="eastAsia" w:ascii="Times New Roman" w:hAnsi="Times New Roman" w:eastAsia="仿宋_GB2312"/>
          <w:bCs/>
          <w:sz w:val="32"/>
          <w:szCs w:val="32"/>
          <w:highlight w:val="none"/>
        </w:rPr>
        <w:t>项目资金</w:t>
      </w:r>
      <w:r>
        <w:rPr>
          <w:rFonts w:hint="eastAsia" w:ascii="Times New Roman" w:hAnsi="Times New Roman" w:eastAsia="仿宋_GB2312"/>
          <w:bCs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Times New Roman" w:hAnsi="Times New Roman" w:eastAsia="仿宋_GB2312"/>
          <w:bCs/>
          <w:sz w:val="32"/>
          <w:szCs w:val="32"/>
          <w:highlight w:val="none"/>
          <w:lang w:eastAsia="zh-CN"/>
        </w:rPr>
        <w:t>企业研发财政补助专项</w:t>
      </w:r>
      <w:r>
        <w:rPr>
          <w:rFonts w:hint="eastAsia" w:ascii="Times New Roman" w:hAnsi="Times New Roman" w:eastAsia="仿宋_GB2312"/>
          <w:bCs/>
          <w:sz w:val="32"/>
          <w:szCs w:val="32"/>
          <w:highlight w:val="none"/>
        </w:rPr>
        <w:t>项目资金</w:t>
      </w:r>
      <w:r>
        <w:rPr>
          <w:rFonts w:hint="eastAsia" w:ascii="Times New Roman" w:hAnsi="Times New Roman" w:eastAsia="仿宋_GB2312"/>
          <w:bCs/>
          <w:sz w:val="32"/>
          <w:szCs w:val="32"/>
          <w:highlight w:val="none"/>
          <w:lang w:eastAsia="zh-CN"/>
        </w:rPr>
        <w:t>、科技创新体系建设等奖补资金的奖补对象年初预算时未能精准确定；重大科技项目“揭榜挂帅”项目管理办法出台滞后，该项目未组织实施，经费结转下年；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市科技人才专项奖补项目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  <w:highlight w:val="none"/>
          <w:lang w:eastAsia="zh-CN"/>
        </w:rPr>
        <w:t>经费预算执行由组织部门管理使用，未纳入科技局管理。今后，将加强同财政、税务部门沟通，年初预算时更加合理测算所需经费，减少预算与实际支出的偏差。</w:t>
      </w:r>
    </w:p>
    <w:p>
      <w:pPr>
        <w:spacing w:line="600" w:lineRule="exact"/>
        <w:ind w:firstLine="640"/>
        <w:rPr>
          <w:rFonts w:hint="eastAsia" w:ascii="Times New Roman" w:hAnsi="Times New Roman" w:eastAsia="仿宋_GB2312"/>
          <w:bCs/>
          <w:color w:val="auto"/>
          <w:sz w:val="32"/>
          <w:szCs w:val="32"/>
          <w:highlight w:val="none"/>
          <w:lang w:eastAsia="zh-CN"/>
        </w:rPr>
      </w:pPr>
    </w:p>
    <w:p>
      <w:pPr>
        <w:spacing w:line="600" w:lineRule="exact"/>
        <w:ind w:firstLine="640"/>
        <w:rPr>
          <w:rFonts w:hint="eastAsia" w:ascii="Times New Roman" w:hAnsi="Times New Roman" w:eastAsia="仿宋_GB2312"/>
          <w:bCs/>
          <w:color w:val="auto"/>
          <w:sz w:val="32"/>
          <w:szCs w:val="32"/>
          <w:highlight w:val="none"/>
          <w:lang w:eastAsia="zh-CN"/>
        </w:rPr>
      </w:pPr>
    </w:p>
    <w:p>
      <w:pPr>
        <w:spacing w:line="600" w:lineRule="exact"/>
        <w:ind w:firstLine="640"/>
        <w:jc w:val="right"/>
        <w:rPr>
          <w:rFonts w:hint="default" w:ascii="Times New Roman" w:hAnsi="Times New Roman" w:eastAsia="仿宋_GB2312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bCs/>
          <w:color w:val="auto"/>
          <w:sz w:val="32"/>
          <w:szCs w:val="32"/>
          <w:highlight w:val="none"/>
          <w:lang w:val="en-US" w:eastAsia="zh-CN"/>
        </w:rPr>
        <w:t>2022年2月</w:t>
      </w:r>
    </w:p>
    <w:sectPr>
      <w:footerReference r:id="rId3" w:type="default"/>
      <w:pgSz w:w="11906" w:h="16838"/>
      <w:pgMar w:top="1440" w:right="1800" w:bottom="1440" w:left="1800" w:header="851" w:footer="82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-</w:t>
                          </w:r>
                          <w:r>
                            <w:t xml:space="preserve">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-</w:t>
                    </w:r>
                    <w:r>
                      <w:t xml:space="preserve">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2E017C"/>
    <w:rsid w:val="1FBD1E3B"/>
    <w:rsid w:val="2A2E017C"/>
    <w:rsid w:val="416062A3"/>
    <w:rsid w:val="5F8BD544"/>
    <w:rsid w:val="67FF5154"/>
    <w:rsid w:val="6FFB70A2"/>
    <w:rsid w:val="7D79E670"/>
    <w:rsid w:val="7EFF1A54"/>
    <w:rsid w:val="B7C3D2FE"/>
    <w:rsid w:val="FFDCD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2020-11-01T09:18:00Z</dcterms:created>
  <dc:creator>Jessica’M</dc:creator>
  <cp:lastModifiedBy>pyadmin</cp:lastModifiedBy>
  <cp:lastPrinted>2022-02-19T09:38:00Z</cp:lastPrinted>
  <dcterms:modified xsi:type="dcterms:W3CDTF">2022-02-18T18:55:43Z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  <property fmtid="{D5CDD505-2E9C-101B-9397-08002B2CF9AE}" pid="3" name="ICV">
    <vt:lpwstr>73F13323022A4971BEF1AE4EA4CF67C7</vt:lpwstr>
  </property>
</Properties>
</file>