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方正小标宋简体" w:hAnsi="Arial" w:eastAsia="方正小标宋简体" w:cs="Arial"/>
          <w:sz w:val="40"/>
          <w:szCs w:val="40"/>
        </w:rPr>
      </w:pPr>
      <w:r>
        <w:rPr>
          <w:rFonts w:hint="eastAsia" w:asciiTheme="majorEastAsia" w:hAnsiTheme="majorEastAsia" w:eastAsiaTheme="majorEastAsia" w:cstheme="majorEastAsia"/>
          <w:sz w:val="32"/>
          <w:szCs w:val="32"/>
        </w:rPr>
        <w:t>附件2</w:t>
      </w:r>
      <w:r>
        <w:rPr>
          <w:rFonts w:hint="eastAsia" w:ascii="仿宋_GB2312" w:hAnsi="仿宋_GB2312" w:eastAsia="仿宋_GB2312" w:cs="仿宋_GB2312"/>
          <w:sz w:val="32"/>
          <w:szCs w:val="32"/>
        </w:rPr>
        <w:t xml:space="preserve"> </w:t>
      </w:r>
      <w:r>
        <w:rPr>
          <w:rFonts w:hint="eastAsia" w:ascii="黑体" w:hAnsi="黑体" w:eastAsia="黑体"/>
          <w:sz w:val="30"/>
          <w:szCs w:val="24"/>
        </w:rPr>
        <w:t xml:space="preserve">        </w:t>
      </w:r>
    </w:p>
    <w:p>
      <w:pPr>
        <w:spacing w:line="600" w:lineRule="exact"/>
        <w:jc w:val="center"/>
        <w:rPr>
          <w:rFonts w:ascii="宋体" w:hAnsi="宋体" w:cs="Arial"/>
          <w:b/>
          <w:bCs/>
          <w:sz w:val="36"/>
          <w:szCs w:val="36"/>
        </w:rPr>
      </w:pPr>
      <w:r>
        <w:rPr>
          <w:rFonts w:hint="eastAsia" w:ascii="宋体" w:hAnsi="宋体" w:cs="Arial"/>
          <w:b/>
          <w:bCs/>
          <w:sz w:val="36"/>
          <w:szCs w:val="36"/>
        </w:rPr>
        <w:t>部门项目支出绩效自评总结报告</w:t>
      </w:r>
    </w:p>
    <w:p>
      <w:pPr>
        <w:spacing w:line="600" w:lineRule="exact"/>
        <w:jc w:val="center"/>
        <w:rPr>
          <w:rFonts w:ascii="仿宋_GB2312" w:hAnsi="Times New Roman" w:eastAsia="仿宋_GB2312"/>
          <w:sz w:val="32"/>
          <w:szCs w:val="32"/>
        </w:rPr>
      </w:pPr>
    </w:p>
    <w:p>
      <w:pPr>
        <w:spacing w:line="600" w:lineRule="exact"/>
        <w:ind w:firstLine="600" w:firstLineChars="200"/>
        <w:rPr>
          <w:rFonts w:ascii="黑体" w:hAnsi="黑体" w:eastAsia="黑体"/>
          <w:sz w:val="30"/>
          <w:szCs w:val="24"/>
        </w:rPr>
      </w:pPr>
      <w:r>
        <w:rPr>
          <w:rFonts w:hint="eastAsia" w:ascii="黑体" w:hAnsi="黑体" w:eastAsia="黑体"/>
          <w:sz w:val="30"/>
          <w:szCs w:val="24"/>
        </w:rPr>
        <w:t>一、项目支出基本情况</w:t>
      </w:r>
    </w:p>
    <w:p>
      <w:pPr>
        <w:spacing w:line="600" w:lineRule="exact"/>
        <w:ind w:firstLine="640" w:firstLineChars="200"/>
        <w:outlineLvl w:val="0"/>
        <w:rPr>
          <w:rFonts w:hint="default"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优良家风宣讲项目总体预算25万元，年度执行25万元。</w:t>
      </w:r>
    </w:p>
    <w:p>
      <w:pPr>
        <w:spacing w:line="600" w:lineRule="exact"/>
        <w:ind w:firstLine="600" w:firstLineChars="200"/>
        <w:rPr>
          <w:rFonts w:ascii="黑体" w:hAnsi="黑体" w:eastAsia="黑体"/>
          <w:sz w:val="30"/>
          <w:szCs w:val="24"/>
        </w:rPr>
      </w:pPr>
      <w:r>
        <w:rPr>
          <w:rFonts w:hint="eastAsia" w:ascii="黑体" w:hAnsi="黑体" w:eastAsia="黑体"/>
          <w:sz w:val="30"/>
          <w:szCs w:val="24"/>
        </w:rPr>
        <w:t>二、绩效自评工作开展情况</w:t>
      </w:r>
    </w:p>
    <w:p>
      <w:pPr>
        <w:spacing w:line="600" w:lineRule="exact"/>
        <w:ind w:firstLine="640" w:firstLineChars="200"/>
        <w:outlineLvl w:val="0"/>
        <w:rPr>
          <w:rFonts w:hint="default" w:ascii="仿宋_GB2312" w:hAnsi="Times New Roman" w:eastAsia="仿宋_GB2312"/>
          <w:sz w:val="32"/>
          <w:szCs w:val="32"/>
          <w:lang w:val="en-US" w:eastAsia="zh-CN"/>
        </w:rPr>
      </w:pPr>
      <w:r>
        <w:rPr>
          <w:rFonts w:hint="eastAsia" w:ascii="仿宋_GB2312" w:hAnsi="Times New Roman" w:eastAsia="仿宋_GB2312"/>
          <w:sz w:val="32"/>
          <w:szCs w:val="32"/>
          <w:lang w:eastAsia="zh-CN"/>
        </w:rPr>
        <w:t>项目自评覆盖率</w:t>
      </w:r>
      <w:r>
        <w:rPr>
          <w:rFonts w:hint="eastAsia" w:ascii="仿宋_GB2312" w:hAnsi="Times New Roman" w:eastAsia="仿宋_GB2312"/>
          <w:sz w:val="32"/>
          <w:szCs w:val="32"/>
          <w:lang w:val="en-US" w:eastAsia="zh-CN"/>
        </w:rPr>
        <w:t>100%，项目绩效自评主要通过部门内部自评开展，责任单位包含濮阳市社会科学界联合会和濮阳市家风文化研究会，主要参与机构包括业务科室和财务部门。</w:t>
      </w:r>
    </w:p>
    <w:p>
      <w:pPr>
        <w:spacing w:line="600" w:lineRule="exact"/>
        <w:ind w:firstLine="600" w:firstLineChars="200"/>
        <w:rPr>
          <w:rFonts w:ascii="黑体" w:hAnsi="黑体" w:eastAsia="黑体"/>
          <w:sz w:val="30"/>
          <w:szCs w:val="24"/>
        </w:rPr>
      </w:pPr>
      <w:r>
        <w:rPr>
          <w:rFonts w:hint="eastAsia" w:ascii="黑体" w:hAnsi="黑体" w:eastAsia="黑体"/>
          <w:sz w:val="30"/>
          <w:szCs w:val="24"/>
        </w:rPr>
        <w:t>三、</w:t>
      </w:r>
      <w:r>
        <w:rPr>
          <w:rFonts w:ascii="黑体" w:hAnsi="黑体" w:eastAsia="黑体"/>
          <w:sz w:val="30"/>
          <w:szCs w:val="24"/>
        </w:rPr>
        <w:t>绩效自评</w:t>
      </w:r>
      <w:r>
        <w:rPr>
          <w:rFonts w:hint="eastAsia" w:ascii="黑体" w:hAnsi="黑体" w:eastAsia="黑体"/>
          <w:sz w:val="30"/>
          <w:szCs w:val="24"/>
        </w:rPr>
        <w:t>结果及分析</w:t>
      </w:r>
    </w:p>
    <w:p>
      <w:pPr>
        <w:spacing w:line="600" w:lineRule="exact"/>
        <w:ind w:firstLine="640" w:firstLineChars="200"/>
        <w:rPr>
          <w:rFonts w:hint="default" w:ascii="黑体" w:hAnsi="黑体" w:eastAsia="黑体"/>
          <w:sz w:val="30"/>
          <w:szCs w:val="24"/>
          <w:lang w:val="en-US"/>
        </w:rPr>
      </w:pPr>
      <w:r>
        <w:rPr>
          <w:rFonts w:hint="eastAsia" w:ascii="仿宋_GB2312" w:hAnsi="Times New Roman" w:eastAsia="仿宋_GB2312"/>
          <w:sz w:val="32"/>
          <w:szCs w:val="32"/>
          <w:lang w:val="en-US" w:eastAsia="zh-CN"/>
        </w:rPr>
        <w:t>优良家风宣讲项目自评分数为90分，各项绩效指标基本完成，预算执行及时，资金拨付到位。</w:t>
      </w:r>
    </w:p>
    <w:p>
      <w:pPr>
        <w:spacing w:line="600" w:lineRule="exact"/>
        <w:ind w:firstLine="600" w:firstLineChars="200"/>
        <w:rPr>
          <w:rFonts w:ascii="黑体" w:hAnsi="黑体" w:eastAsia="黑体"/>
          <w:sz w:val="30"/>
          <w:szCs w:val="24"/>
        </w:rPr>
      </w:pPr>
      <w:r>
        <w:rPr>
          <w:rFonts w:hint="eastAsia" w:ascii="黑体" w:hAnsi="黑体" w:eastAsia="黑体"/>
          <w:sz w:val="30"/>
          <w:szCs w:val="24"/>
        </w:rPr>
        <w:t>四、自评发现的问题及</w:t>
      </w:r>
      <w:r>
        <w:rPr>
          <w:rFonts w:ascii="黑体" w:hAnsi="黑体" w:eastAsia="黑体"/>
          <w:sz w:val="30"/>
          <w:szCs w:val="24"/>
        </w:rPr>
        <w:t>整改措施</w:t>
      </w:r>
    </w:p>
    <w:p>
      <w:pPr>
        <w:spacing w:line="600" w:lineRule="exact"/>
        <w:ind w:firstLine="640" w:firstLineChars="200"/>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人员聚集类项目，需要切实考虑新冠疫情对于工作开展的影响，单位在年初制定项目绩效时需要做好应急预案或备选方案的具体工作，绩效指标设置则存在不精准性，影响了绩效监控的实施效果。</w:t>
      </w:r>
    </w:p>
    <w:p>
      <w:pPr>
        <w:spacing w:line="600" w:lineRule="exact"/>
        <w:ind w:firstLine="600" w:firstLineChars="200"/>
        <w:rPr>
          <w:rFonts w:ascii="黑体" w:hAnsi="黑体" w:eastAsia="黑体"/>
          <w:sz w:val="30"/>
          <w:szCs w:val="24"/>
        </w:rPr>
      </w:pPr>
      <w:r>
        <w:rPr>
          <w:rFonts w:hint="eastAsia" w:ascii="黑体" w:hAnsi="黑体" w:eastAsia="黑体"/>
          <w:sz w:val="30"/>
          <w:szCs w:val="24"/>
        </w:rPr>
        <w:t>五、绩效自评</w:t>
      </w:r>
      <w:r>
        <w:rPr>
          <w:rFonts w:ascii="黑体" w:hAnsi="黑体" w:eastAsia="黑体"/>
          <w:sz w:val="30"/>
          <w:szCs w:val="24"/>
        </w:rPr>
        <w:t>工作建议</w:t>
      </w:r>
      <w:r>
        <w:rPr>
          <w:rFonts w:hint="eastAsia" w:ascii="黑体" w:hAnsi="黑体" w:eastAsia="黑体"/>
          <w:sz w:val="30"/>
          <w:szCs w:val="24"/>
        </w:rPr>
        <w:t>及</w:t>
      </w:r>
      <w:r>
        <w:rPr>
          <w:rFonts w:ascii="黑体" w:hAnsi="黑体" w:eastAsia="黑体"/>
          <w:sz w:val="30"/>
          <w:szCs w:val="24"/>
        </w:rPr>
        <w:t>预算安排建议</w:t>
      </w:r>
    </w:p>
    <w:p>
      <w:pPr>
        <w:spacing w:line="600" w:lineRule="exact"/>
        <w:ind w:firstLine="640" w:firstLineChars="200"/>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要完善预算编制管理，进一步细化项目预算编报内容，明确项目具体支持方向和实施内容，为合理设置绩效目标提供基础。同时，结合项目预算评审，将项目资金分解落实到具体单位，提高年初预算到位率，提高预算管理水平。</w:t>
      </w:r>
    </w:p>
    <w:p>
      <w:pPr>
        <w:spacing w:line="600" w:lineRule="exact"/>
        <w:ind w:firstLine="600" w:firstLineChars="200"/>
        <w:rPr>
          <w:rFonts w:ascii="黑体" w:hAnsi="黑体" w:eastAsia="黑体"/>
          <w:sz w:val="30"/>
          <w:szCs w:val="24"/>
        </w:rPr>
      </w:pPr>
      <w:r>
        <w:rPr>
          <w:rFonts w:hint="eastAsia" w:ascii="黑体" w:hAnsi="黑体" w:eastAsia="黑体"/>
          <w:sz w:val="30"/>
          <w:szCs w:val="24"/>
        </w:rPr>
        <w:t>六</w:t>
      </w:r>
      <w:r>
        <w:rPr>
          <w:rFonts w:ascii="黑体" w:hAnsi="黑体" w:eastAsia="黑体"/>
          <w:sz w:val="30"/>
          <w:szCs w:val="24"/>
        </w:rPr>
        <w:t>、</w:t>
      </w:r>
      <w:r>
        <w:rPr>
          <w:rFonts w:hint="eastAsia" w:ascii="黑体" w:hAnsi="黑体" w:eastAsia="黑体"/>
          <w:sz w:val="30"/>
          <w:szCs w:val="24"/>
        </w:rPr>
        <w:t>其他需要说明的问题</w:t>
      </w:r>
    </w:p>
    <w:p>
      <w:pPr>
        <w:spacing w:line="600" w:lineRule="exact"/>
        <w:ind w:firstLine="640"/>
        <w:rPr>
          <w:rFonts w:hint="eastAsia" w:ascii="仿宋_GB2312" w:hAnsi="Times New Roman" w:eastAsia="仿宋_GB2312"/>
          <w:bCs/>
          <w:sz w:val="32"/>
          <w:szCs w:val="32"/>
          <w:lang w:eastAsia="zh-CN"/>
        </w:rPr>
      </w:pPr>
      <w:r>
        <w:rPr>
          <w:rFonts w:hint="eastAsia" w:ascii="仿宋_GB2312" w:hAnsi="Times New Roman" w:eastAsia="仿宋_GB2312"/>
          <w:bCs/>
          <w:sz w:val="32"/>
          <w:szCs w:val="32"/>
          <w:lang w:eastAsia="zh-CN"/>
        </w:rPr>
        <w:t>无其他需要说明问题。</w:t>
      </w:r>
    </w:p>
    <w:p>
      <w:pPr>
        <w:spacing w:line="600" w:lineRule="exact"/>
        <w:ind w:firstLine="640"/>
        <w:rPr>
          <w:rFonts w:ascii="仿宋_GB2312" w:hAnsi="Times New Roman" w:eastAsia="仿宋_GB2312"/>
          <w:bCs/>
          <w:sz w:val="32"/>
          <w:szCs w:val="32"/>
        </w:rPr>
      </w:pPr>
      <w:r>
        <w:rPr>
          <w:rFonts w:hint="eastAsia" w:ascii="仿宋_GB2312" w:hAnsi="Times New Roman" w:eastAsia="仿宋_GB2312"/>
          <w:bCs/>
          <w:sz w:val="32"/>
          <w:szCs w:val="32"/>
        </w:rPr>
        <w:t>单位自评</w:t>
      </w:r>
      <w:r>
        <w:rPr>
          <w:rFonts w:ascii="仿宋_GB2312" w:hAnsi="Times New Roman" w:eastAsia="仿宋_GB2312"/>
          <w:bCs/>
          <w:sz w:val="32"/>
          <w:szCs w:val="32"/>
        </w:rPr>
        <w:t>指标</w:t>
      </w:r>
      <w:r>
        <w:rPr>
          <w:rFonts w:hint="eastAsia" w:ascii="仿宋_GB2312" w:hAnsi="Times New Roman" w:eastAsia="仿宋_GB2312"/>
          <w:bCs/>
          <w:sz w:val="32"/>
          <w:szCs w:val="32"/>
        </w:rPr>
        <w:t>是指预算批复时确定的绩效指标，包括项目的产出数量、质量、时效、成本，以及经济效益、社会效益、生态效益、可持续影响、服务对象满意度等。</w:t>
      </w:r>
    </w:p>
    <w:p>
      <w:pPr>
        <w:spacing w:line="600" w:lineRule="exact"/>
        <w:ind w:firstLine="640"/>
        <w:rPr>
          <w:rFonts w:ascii="仿宋_GB2312" w:hAnsi="Times New Roman" w:eastAsia="仿宋_GB2312"/>
          <w:b/>
          <w:bCs/>
          <w:sz w:val="32"/>
          <w:szCs w:val="32"/>
        </w:rPr>
      </w:pPr>
      <w:r>
        <w:rPr>
          <w:rFonts w:hint="eastAsia" w:ascii="仿宋_GB2312" w:hAnsi="Times New Roman" w:eastAsia="仿宋_GB2312"/>
          <w:bCs/>
          <w:sz w:val="32"/>
          <w:szCs w:val="32"/>
        </w:rPr>
        <w:t>单位自评指标的权重由各单位根据项目实际情况确定。原则上预算执行率和一级指标权重统一设置为:预算执行率</w:t>
      </w:r>
      <w:r>
        <w:rPr>
          <w:rFonts w:ascii="仿宋_GB2312" w:hAnsi="Times New Roman" w:eastAsia="仿宋_GB2312"/>
          <w:bCs/>
          <w:sz w:val="32"/>
          <w:szCs w:val="32"/>
        </w:rPr>
        <w:t>10</w:t>
      </w:r>
      <w:r>
        <w:rPr>
          <w:rFonts w:hint="eastAsia" w:ascii="仿宋_GB2312" w:hAnsi="Times New Roman" w:eastAsia="仿宋_GB2312"/>
          <w:bCs/>
          <w:sz w:val="32"/>
          <w:szCs w:val="32"/>
        </w:rPr>
        <w:t>%、产出指标50%、效益指标30%、服务对象满意度指标10%。如有特殊情况，一级指标权重可做适当调整。二、三级指标应当根据指标重要程度、项目实施阶段等因素综合确定，准确反映项目的</w:t>
      </w:r>
      <w:r>
        <w:rPr>
          <w:rFonts w:ascii="仿宋_GB2312" w:hAnsi="Times New Roman" w:eastAsia="仿宋_GB2312"/>
          <w:bCs/>
          <w:sz w:val="32"/>
          <w:szCs w:val="32"/>
        </w:rPr>
        <w:t>产出和效</w:t>
      </w:r>
      <w:r>
        <w:rPr>
          <w:rFonts w:hint="eastAsia" w:ascii="仿宋_GB2312" w:hAnsi="Times New Roman" w:eastAsia="仿宋_GB2312"/>
          <w:bCs/>
          <w:sz w:val="32"/>
          <w:szCs w:val="32"/>
        </w:rPr>
        <w:t>益。</w:t>
      </w:r>
      <w:bookmarkStart w:id="0" w:name="_GoBack"/>
      <w:bookmarkEnd w:id="0"/>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fldChar w:fldCharType="begin"/>
    </w:r>
    <w:r>
      <w:instrText xml:space="preserve">PAGE   \* MERGEFORMAT</w:instrText>
    </w:r>
    <w:r>
      <w:fldChar w:fldCharType="separate"/>
    </w:r>
    <w:r>
      <w:rPr>
        <w:lang w:val="zh-CN"/>
      </w:rPr>
      <w:t>-</w:t>
    </w:r>
    <w:r>
      <w:t xml:space="preserve"> 1 -</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2E017C"/>
    <w:rsid w:val="12AE18CD"/>
    <w:rsid w:val="191802EE"/>
    <w:rsid w:val="25B62F50"/>
    <w:rsid w:val="2A2E017C"/>
    <w:rsid w:val="416062A3"/>
    <w:rsid w:val="7F287A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2020-10-30T01:18:00Z</dcterms:created>
  <dc:creator>Jessica’M</dc:creator>
  <cp:lastModifiedBy>DELL</cp:lastModifiedBy>
  <cp:lastPrinted>2022-02-21T01:14:43Z</cp:lastPrinted>
  <dcterms:modified xsi:type="dcterms:W3CDTF">2022-02-21T01:14:49Z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73F13323022A4971BEF1AE4EA4CF67C7</vt:lpwstr>
  </property>
</Properties>
</file>