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righ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办理结果：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</w:t>
      </w:r>
    </w:p>
    <w:p>
      <w:pPr>
        <w:spacing w:line="700" w:lineRule="exact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是否同意对外公开：是</w:t>
      </w:r>
    </w:p>
    <w:p>
      <w:pPr>
        <w:spacing w:line="7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7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7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7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4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800" w:lineRule="exact"/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濮财</w:t>
      </w:r>
      <w:bookmarkStart w:id="0" w:name="OLE_LINK2"/>
      <w:bookmarkStart w:id="1" w:name="OLE_LINK1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〔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〕</w:t>
      </w:r>
      <w:bookmarkEnd w:id="0"/>
      <w:bookmarkEnd w:id="1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签发人：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潘顺恩</w:t>
      </w:r>
    </w:p>
    <w:p>
      <w:pPr>
        <w:spacing w:line="80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                                                        </w:t>
      </w:r>
    </w:p>
    <w:p>
      <w:pPr>
        <w:spacing w:line="64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2" w:name="_GoBack"/>
      <w:bookmarkEnd w:id="2"/>
    </w:p>
    <w:p>
      <w:pPr>
        <w:spacing w:line="64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4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濮阳市财政局</w:t>
      </w:r>
    </w:p>
    <w:p>
      <w:pPr>
        <w:spacing w:line="64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对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市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八届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人大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五次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会议第</w:t>
      </w:r>
      <w:r>
        <w:rPr>
          <w:rFonts w:hint="eastAsia" w:ascii="Times New Roman" w:hAnsi="Times New Roman" w:eastAsia="方正小标宋简体" w:cs="Times New Roman"/>
          <w:sz w:val="44"/>
          <w:szCs w:val="52"/>
          <w:lang w:val="en-US" w:eastAsia="zh-CN"/>
        </w:rPr>
        <w:t>54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号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提案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的</w:t>
      </w:r>
    </w:p>
    <w:p>
      <w:pPr>
        <w:spacing w:afterAutospacing="0" w:line="64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答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    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复</w:t>
      </w:r>
    </w:p>
    <w:p>
      <w:pPr>
        <w:pStyle w:val="3"/>
        <w:spacing w:before="0" w:beforeAutospacing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苏本献等各位代表</w:t>
      </w:r>
      <w:r>
        <w:rPr>
          <w:rFonts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5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您</w:t>
      </w:r>
      <w:r>
        <w:rPr>
          <w:rFonts w:hint="eastAsia" w:eastAsia="仿宋_GB2312"/>
          <w:sz w:val="32"/>
          <w:szCs w:val="32"/>
          <w:lang w:eastAsia="zh-CN"/>
        </w:rPr>
        <w:t>们</w:t>
      </w:r>
      <w:r>
        <w:rPr>
          <w:rFonts w:eastAsia="仿宋_GB2312"/>
          <w:sz w:val="32"/>
          <w:szCs w:val="32"/>
        </w:rPr>
        <w:t>在</w:t>
      </w:r>
      <w:r>
        <w:rPr>
          <w:rFonts w:hint="eastAsia" w:eastAsia="仿宋_GB2312"/>
          <w:sz w:val="32"/>
          <w:szCs w:val="32"/>
          <w:lang w:eastAsia="zh-CN"/>
        </w:rPr>
        <w:t>市八</w:t>
      </w:r>
      <w:r>
        <w:rPr>
          <w:rFonts w:hint="eastAsia" w:eastAsia="仿宋_GB2312"/>
          <w:sz w:val="32"/>
          <w:szCs w:val="32"/>
          <w:lang w:val="en-US" w:eastAsia="zh-CN"/>
        </w:rPr>
        <w:t>届人民代表大会第六次会议</w:t>
      </w:r>
      <w:r>
        <w:rPr>
          <w:rFonts w:eastAsia="仿宋_GB2312"/>
          <w:sz w:val="32"/>
          <w:szCs w:val="32"/>
        </w:rPr>
        <w:t>提出的《关于</w:t>
      </w:r>
      <w:r>
        <w:rPr>
          <w:rFonts w:hint="eastAsia" w:eastAsia="仿宋_GB2312"/>
          <w:sz w:val="32"/>
          <w:szCs w:val="32"/>
          <w:lang w:eastAsia="zh-CN"/>
        </w:rPr>
        <w:t>国企办</w:t>
      </w:r>
      <w:r>
        <w:rPr>
          <w:rFonts w:hint="eastAsia" w:eastAsia="仿宋_GB2312"/>
          <w:sz w:val="32"/>
          <w:szCs w:val="32"/>
          <w:lang w:val="en-US" w:eastAsia="zh-CN"/>
        </w:rPr>
        <w:t>办社会职能移交工作</w:t>
      </w:r>
      <w:r>
        <w:rPr>
          <w:rFonts w:eastAsia="仿宋_GB2312"/>
          <w:sz w:val="32"/>
          <w:szCs w:val="32"/>
        </w:rPr>
        <w:t>的建议》（第</w:t>
      </w:r>
      <w:r>
        <w:rPr>
          <w:rFonts w:hint="eastAsia" w:eastAsia="仿宋_GB2312"/>
          <w:sz w:val="32"/>
          <w:szCs w:val="32"/>
          <w:lang w:val="en-US" w:eastAsia="zh-CN"/>
        </w:rPr>
        <w:t>54</w:t>
      </w:r>
      <w:r>
        <w:rPr>
          <w:rFonts w:eastAsia="仿宋_GB2312"/>
          <w:sz w:val="32"/>
          <w:szCs w:val="32"/>
        </w:rPr>
        <w:t>号）收悉。首先，感谢您</w:t>
      </w:r>
      <w:r>
        <w:rPr>
          <w:rFonts w:hint="eastAsia" w:eastAsia="仿宋_GB2312"/>
          <w:sz w:val="32"/>
          <w:szCs w:val="32"/>
          <w:lang w:eastAsia="zh-CN"/>
        </w:rPr>
        <w:t>们</w:t>
      </w:r>
      <w:r>
        <w:rPr>
          <w:rFonts w:eastAsia="仿宋_GB2312"/>
          <w:sz w:val="32"/>
          <w:szCs w:val="32"/>
        </w:rPr>
        <w:t>长期以来对我市经济社会发展和</w:t>
      </w:r>
      <w:r>
        <w:rPr>
          <w:rFonts w:hint="eastAsia" w:eastAsia="仿宋_GB2312"/>
          <w:sz w:val="32"/>
          <w:szCs w:val="32"/>
          <w:lang w:val="en-US" w:eastAsia="zh-CN"/>
        </w:rPr>
        <w:t>国有企业办社会职能</w:t>
      </w:r>
      <w:r>
        <w:rPr>
          <w:rFonts w:eastAsia="仿宋_GB2312"/>
          <w:sz w:val="32"/>
          <w:szCs w:val="32"/>
        </w:rPr>
        <w:t>工作的关注与支持。所提出的建议，</w:t>
      </w:r>
      <w:r>
        <w:rPr>
          <w:rFonts w:hint="eastAsia" w:eastAsia="仿宋_GB2312"/>
          <w:sz w:val="32"/>
          <w:szCs w:val="32"/>
        </w:rPr>
        <w:t>濮阳市政府高度重视，立即组织有关部门进行研究，</w:t>
      </w:r>
      <w:r>
        <w:rPr>
          <w:rFonts w:hint="eastAsia" w:eastAsia="仿宋_GB2312"/>
          <w:sz w:val="32"/>
          <w:szCs w:val="32"/>
          <w:lang w:eastAsia="zh-CN"/>
        </w:rPr>
        <w:t>并与中原油田相关部门进行了沟通和调查</w:t>
      </w:r>
      <w:r>
        <w:rPr>
          <w:rFonts w:eastAsia="仿宋_GB2312"/>
          <w:sz w:val="32"/>
          <w:szCs w:val="32"/>
        </w:rPr>
        <w:t>现答复如下：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lang w:eastAsia="zh-CN"/>
        </w:rPr>
        <w:t>一、应交未交问题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/>
        <w:textAlignment w:val="auto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</w:rPr>
        <w:t>一是</w:t>
      </w:r>
      <w:r>
        <w:rPr>
          <w:rFonts w:ascii="仿宋_GB2312" w:eastAsia="仿宋_GB2312" w:cs="仿宋_GB2312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</w:rPr>
        <w:t>国家政策已关闭资产移交窗口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/>
        <w:textAlignment w:val="auto"/>
        <w:rPr>
          <w:rFonts w:asci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根据国办发〔</w:t>
      </w:r>
      <w:r>
        <w:rPr>
          <w:rFonts w:ascii="仿宋" w:hAnsi="仿宋" w:eastAsia="仿宋"/>
          <w:color w:val="auto"/>
          <w:sz w:val="32"/>
          <w:szCs w:val="32"/>
        </w:rPr>
        <w:t>2016</w:t>
      </w:r>
      <w:r>
        <w:rPr>
          <w:rFonts w:hint="eastAsia" w:ascii="仿宋" w:hAnsi="仿宋" w:eastAsia="仿宋"/>
          <w:color w:val="auto"/>
          <w:sz w:val="32"/>
          <w:szCs w:val="32"/>
        </w:rPr>
        <w:t>〕</w:t>
      </w:r>
      <w:r>
        <w:rPr>
          <w:rFonts w:ascii="仿宋" w:hAnsi="仿宋" w:eastAsia="仿宋"/>
          <w:color w:val="auto"/>
          <w:sz w:val="32"/>
          <w:szCs w:val="32"/>
        </w:rPr>
        <w:t>45</w:t>
      </w:r>
      <w:r>
        <w:rPr>
          <w:rFonts w:hint="eastAsia" w:ascii="仿宋" w:hAnsi="仿宋" w:eastAsia="仿宋"/>
          <w:color w:val="auto"/>
          <w:sz w:val="32"/>
          <w:szCs w:val="32"/>
        </w:rPr>
        <w:t>号文件规定，职工家属区“三供一业”分离移交工作完成时间节点为2018年年底前。2018年下半年，移交、接收双方启动资产移交工作，至2018年12月31日，油田所有职工家属区“四供一业”移交涉及资产，经移交和接收方双方现场逐一核实、清点、签字确认、第三方审计机构出具审计报告后，上报中国石化集团公司进行了核准及账务处理，并报财政部、国资委进行了备案。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资产移交工作已于2018年底全部结束。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</w:rPr>
        <w:t>二是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按国家政策及油地双方共同约定，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不存在应交未交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资产。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5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市政设施、物业资产移交时，</w:t>
      </w:r>
      <w:r>
        <w:rPr>
          <w:rFonts w:hint="eastAsia" w:ascii="仿宋" w:hAnsi="仿宋" w:eastAsia="仿宋"/>
          <w:color w:val="auto"/>
          <w:sz w:val="32"/>
          <w:szCs w:val="32"/>
        </w:rPr>
        <w:t>油田与华龙区移交、接收双方人员共同参与，组成移交工作组，经多次现场查看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按照国家移交政策，共同商议达成一致意见，确定了移交原则、范围、内容、资产数量，并现场清点签认，双方签定了移交协议（移交资产作为移交协议的附件）。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建议：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因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华龙区已接收的划拨用地资产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可通过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缴纳出让金的方式变更为出让商业用地，缴纳的出让金返还华龙区，以壮大华龙区优良资产储量，拓展资本市场。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5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历史遗留问题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36"/>
        <w:textAlignment w:val="auto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根据《国务院办公厅转发国资委、财政部关于国有企业职工家属区“三供一业”分离移交工作指导意见的通知》（国办发〔</w:t>
      </w:r>
      <w:r>
        <w:rPr>
          <w:rFonts w:ascii="仿宋" w:hAnsi="仿宋" w:eastAsia="仿宋"/>
          <w:color w:val="auto"/>
          <w:sz w:val="32"/>
          <w:szCs w:val="32"/>
        </w:rPr>
        <w:t>2016</w:t>
      </w:r>
      <w:r>
        <w:rPr>
          <w:rFonts w:hint="eastAsia" w:ascii="仿宋" w:hAnsi="仿宋" w:eastAsia="仿宋"/>
          <w:color w:val="auto"/>
          <w:sz w:val="32"/>
          <w:szCs w:val="32"/>
        </w:rPr>
        <w:t>〕</w:t>
      </w:r>
      <w:r>
        <w:rPr>
          <w:rFonts w:ascii="仿宋" w:hAnsi="仿宋" w:eastAsia="仿宋"/>
          <w:color w:val="auto"/>
          <w:sz w:val="32"/>
          <w:szCs w:val="32"/>
        </w:rPr>
        <w:t>45</w:t>
      </w:r>
      <w:r>
        <w:rPr>
          <w:rFonts w:hint="eastAsia" w:ascii="仿宋" w:hAnsi="仿宋" w:eastAsia="仿宋"/>
          <w:color w:val="auto"/>
          <w:sz w:val="32"/>
          <w:szCs w:val="32"/>
        </w:rPr>
        <w:t>号）规定：“对分离移交涉及资产实行无偿划转”。具体就物业管理职能分离移交来说，移交范围是职工家属区，“涉及资产”是指物业管理资产。油田与华龙区移交、接收双方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共同踏勘，</w:t>
      </w:r>
      <w:r>
        <w:rPr>
          <w:rFonts w:hint="eastAsia" w:ascii="仿宋" w:hAnsi="仿宋" w:eastAsia="仿宋"/>
          <w:color w:val="auto"/>
          <w:sz w:val="32"/>
          <w:szCs w:val="32"/>
        </w:rPr>
        <w:t>充分协商达成一致，确定了移交原则、移交范围、不移交范围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物业移交协议签订后，因承接物业公司始终悬而未决，没有完成物业业务移交。为保障小区居民正常生活秩序不受影响，华龙区盛基公司临时委托油田</w:t>
      </w:r>
      <w:r>
        <w:rPr>
          <w:rFonts w:hint="eastAsia" w:ascii="仿宋_GB2312" w:hAnsi="微软雅黑" w:eastAsia="仿宋_GB2312"/>
          <w:b w:val="0"/>
          <w:bCs w:val="0"/>
          <w:color w:val="auto"/>
          <w:sz w:val="32"/>
          <w:szCs w:val="32"/>
          <w:shd w:val="clear" w:color="auto" w:fill="FFFFFF"/>
        </w:rPr>
        <w:t>物业服务中心代管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。因是临时代管因各方面原因，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  <w:lang w:eastAsia="zh-CN"/>
        </w:rPr>
        <w:t>造成管理混乱。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仿宋_GB2312" w:hAnsi="微软雅黑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建议：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  <w:lang w:eastAsia="zh-CN"/>
        </w:rPr>
        <w:t>尽快通过招商引资的方式，引进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国内知名物业公司接管油田移交物业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引进现代物业经营管理理念，投入一定的资金，通过一段时间的培育，提升小区物业服务水平和居民满意率，制定合理的物业收费标准和开展物业增值服务，油田小区物业业务逐步步入良性发展轨道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  <w:lang w:eastAsia="zh-CN"/>
        </w:rPr>
        <w:t>，真正实现国有企业办社会职能“交得出、接得、管的好”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5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再次</w:t>
      </w:r>
      <w:r>
        <w:rPr>
          <w:rFonts w:eastAsia="仿宋_GB2312"/>
          <w:sz w:val="32"/>
          <w:szCs w:val="32"/>
        </w:rPr>
        <w:t>感谢您对我们工作的关心和支持，欢迎</w:t>
      </w:r>
      <w:r>
        <w:rPr>
          <w:rFonts w:hint="eastAsia" w:eastAsia="仿宋_GB2312"/>
          <w:sz w:val="32"/>
          <w:szCs w:val="32"/>
          <w:lang w:val="en-US" w:eastAsia="zh-CN"/>
        </w:rPr>
        <w:t>多</w:t>
      </w:r>
      <w:r>
        <w:rPr>
          <w:rFonts w:eastAsia="仿宋_GB2312"/>
          <w:sz w:val="32"/>
          <w:szCs w:val="32"/>
        </w:rPr>
        <w:t>提宝贵意见。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7038" w:leftChars="304" w:hanging="6400" w:hangingChars="20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联系单位及电话：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基层财政管理科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6666753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王令宽</w:t>
      </w:r>
    </w:p>
    <w:p/>
    <w:p>
      <w:pPr>
        <w:pBdr>
          <w:top w:val="single" w:color="auto" w:sz="6" w:space="1"/>
          <w:bottom w:val="single" w:color="auto" w:sz="6" w:space="1"/>
        </w:pBdr>
        <w:spacing w:line="640" w:lineRule="exact"/>
        <w:ind w:firstLine="280" w:firstLineChars="10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抄送：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人大选工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委（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份）</w:t>
      </w:r>
      <w:r>
        <w:rPr>
          <w:rFonts w:hint="eastAsia" w:ascii="仿宋_GB2312" w:hAnsi="仿宋_GB2312" w:eastAsia="仿宋_GB2312" w:cs="仿宋_GB2312"/>
          <w:sz w:val="28"/>
          <w:szCs w:val="28"/>
        </w:rPr>
        <w:t>，市委市政府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督查</w:t>
      </w:r>
      <w:r>
        <w:rPr>
          <w:rFonts w:hint="eastAsia" w:ascii="仿宋_GB2312" w:hAnsi="仿宋_GB2312" w:eastAsia="仿宋_GB2312" w:cs="仿宋_GB2312"/>
          <w:sz w:val="28"/>
          <w:szCs w:val="28"/>
        </w:rPr>
        <w:t>局（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份）。</w:t>
      </w:r>
    </w:p>
    <w:p>
      <w:pPr>
        <w:pBdr>
          <w:bottom w:val="single" w:color="auto" w:sz="6" w:space="1"/>
          <w:between w:val="single" w:color="auto" w:sz="6" w:space="1"/>
        </w:pBdr>
        <w:spacing w:line="640" w:lineRule="exact"/>
        <w:ind w:firstLine="280" w:firstLineChars="100"/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濮阳市财政局                           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2022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15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日印发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  </w:t>
      </w:r>
    </w:p>
    <w:p/>
    <w:sectPr>
      <w:footerReference r:id="rId3" w:type="default"/>
      <w:footerReference r:id="rId4" w:type="even"/>
      <w:pgSz w:w="11906" w:h="16838"/>
      <w:pgMar w:top="1701" w:right="1418" w:bottom="181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4AB84B2E-06A5-4190-BFAE-2D2CF5C3A2A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B839600-A1B1-49C7-AEC7-29BC9ABA719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07E62C3-B13B-42B7-8F62-818F4BF0DB3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B614A90-9D3F-4E3B-8639-24B83D18830D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5EB939D4-890D-42AC-AABE-DFFF5A3FD2B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F66A0377-F409-4E66-BB74-41150C2210A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7" w:fontKey="{4786BA58-1459-42FC-8081-A40E3B077A5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716708"/>
      <w:docPartObj>
        <w:docPartGallery w:val="autotext"/>
      </w:docPartObj>
    </w:sdtPr>
    <w:sdtContent>
      <w:p>
        <w:pPr>
          <w:pStyle w:val="4"/>
          <w:jc w:val="right"/>
        </w:pPr>
        <w:r>
          <w:rPr>
            <w:rFonts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t>—</w:t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716721"/>
      <w:docPartObj>
        <w:docPartGallery w:val="autotext"/>
      </w:docPartObj>
    </w:sdtPr>
    <w:sdtContent>
      <w:p>
        <w:pPr>
          <w:pStyle w:val="4"/>
        </w:pPr>
        <w:r>
          <w:rPr>
            <w:rFonts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t>—</w:t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3BFB81"/>
    <w:multiLevelType w:val="singleLevel"/>
    <w:tmpl w:val="FA3BFB8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MWNkY2E1ZDI2NzVhNWUzOWY5YjBhYWUyOTJhZjYifQ=="/>
  </w:docVars>
  <w:rsids>
    <w:rsidRoot w:val="459B5B4D"/>
    <w:rsid w:val="459B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  <w:szCs w:val="24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2022-06-28T01:49:00Z</dcterms:created>
  <dc:creator>Puff  Grace</dc:creator>
  <cp:lastModifiedBy>Puff  Grace</cp:lastModifiedBy>
  <dcterms:modified xsi:type="dcterms:W3CDTF">2022-06-28T01:52:35Z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50326C7E4B9E41FEA6976685C36F426F</vt:lpwstr>
  </property>
</Properties>
</file>