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方正小标宋简体" w:hAnsi="宋体" w:eastAsia="方正小标宋简体" w:cs="宋体"/>
          <w:color w:val="333333"/>
          <w:kern w:val="0"/>
          <w:sz w:val="44"/>
          <w:szCs w:val="44"/>
        </w:rPr>
      </w:pPr>
      <w:r>
        <w:rPr>
          <w:rFonts w:hint="eastAsia" w:ascii="方正小标宋简体" w:hAnsi="黑体" w:eastAsia="方正小标宋简体" w:cs="宋体"/>
          <w:b/>
          <w:bCs/>
          <w:color w:val="333333"/>
          <w:kern w:val="0"/>
          <w:sz w:val="44"/>
          <w:szCs w:val="44"/>
        </w:rPr>
        <w:t>公平竞争审查制度实施细则</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80" w:lineRule="atLeast"/>
        <w:jc w:val="center"/>
        <w:rPr>
          <w:rFonts w:hint="eastAsia" w:ascii="宋体" w:hAnsi="宋体" w:eastAsia="宋体" w:cs="宋体"/>
          <w:color w:val="333333"/>
          <w:kern w:val="0"/>
          <w:sz w:val="32"/>
          <w:szCs w:val="32"/>
        </w:rPr>
      </w:pPr>
      <w:r>
        <w:rPr>
          <w:rFonts w:hint="eastAsia" w:ascii="楷体" w:hAnsi="楷体" w:eastAsia="楷体" w:cs="宋体"/>
          <w:b/>
          <w:bCs/>
          <w:color w:val="333333"/>
          <w:kern w:val="0"/>
          <w:sz w:val="32"/>
          <w:szCs w:val="32"/>
        </w:rPr>
        <w:t>国市监反垄规〔2021〕2号</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各省、自治区、直辖市人民政府，国务院各部委、各直属机构：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为深入贯彻党中央、国务院决策部署，全面落实公平竞争审查制度，市场监管总局、国家发展改革委、财政部、商务部、司法部会同有关部门修订了《公平竞争审查制度实施细则》，经国务院同意，现印发给你们，请遵照执行。</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市场监管总局  国家发展改革委    财 政 部</w:t>
      </w:r>
    </w:p>
    <w:p>
      <w:pPr>
        <w:widowControl/>
        <w:shd w:val="clear" w:color="auto" w:fill="FFFFFF"/>
        <w:spacing w:line="480" w:lineRule="atLeast"/>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xml:space="preserve"> 商 务 部</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xml:space="preserve">  司 法 部</w:t>
      </w:r>
    </w:p>
    <w:p>
      <w:pPr>
        <w:widowControl/>
        <w:shd w:val="clear" w:color="auto" w:fill="FFFFFF"/>
        <w:spacing w:line="480" w:lineRule="atLeast"/>
        <w:jc w:val="righ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2021年6月29日</w:t>
      </w:r>
    </w:p>
    <w:p>
      <w:pPr>
        <w:widowControl/>
        <w:shd w:val="clear" w:color="auto" w:fill="FFFFFF"/>
        <w:spacing w:line="480"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（此件公开发布）</w:t>
      </w:r>
    </w:p>
    <w:p>
      <w:pPr>
        <w:widowControl/>
        <w:shd w:val="clear" w:color="auto" w:fill="FFFFFF"/>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ascii="宋体" w:hAnsi="宋体" w:eastAsia="宋体" w:cs="宋体"/>
          <w:color w:val="333333"/>
          <w:kern w:val="0"/>
          <w:sz w:val="24"/>
          <w:szCs w:val="24"/>
        </w:rPr>
      </w:pPr>
      <w:bookmarkStart w:id="0" w:name="_GoBack"/>
      <w:bookmarkEnd w:id="0"/>
      <w:r>
        <w:rPr>
          <w:rFonts w:hint="eastAsia" w:ascii="黑体" w:hAnsi="黑体" w:eastAsia="黑体" w:cs="宋体"/>
          <w:b/>
          <w:bCs/>
          <w:color w:val="333333"/>
          <w:kern w:val="0"/>
          <w:sz w:val="36"/>
        </w:rPr>
        <w:t>公平竞争审查制度实施细则</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黑体" w:hAnsi="黑体" w:eastAsia="黑体" w:cs="宋体"/>
          <w:b/>
          <w:bCs/>
          <w:color w:val="333333"/>
          <w:kern w:val="0"/>
          <w:sz w:val="28"/>
        </w:rPr>
        <w:t>第一章 总则</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经公平竞争审查认为不具有排除、限制竞争效果或者符合例外规定的，可以实施；具有排除、限制竞争效果且不符合例外规定的，应当不予出台或者调整至符合相关要求后出台；未经公平竞争审查的，不得出台。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以多个部门名义联合制定出台的政策措施，由牵头部门负责公平竞争审查，其他部门在各自职责范围内参与公平竞争审查。政策措施涉及其他部门职权的，政策制定机关在公平竞争审查中应当充分征求其意见。</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第四条 市场监管总局、发展改革委、财政部、商务部会同有关部门，建立健全公平竞争审查工作部际联席会议制度，统筹协调和监督指导全国公平竞争审查工作。</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widowControl/>
        <w:shd w:val="clear" w:color="auto" w:fill="FFFFFF"/>
        <w:spacing w:line="480" w:lineRule="atLeast"/>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　　地方各级联席会议应当每年向本级人民政府和上一级联席会议报告本地区公平竞争审查制度实施情况，接受其指导和监督。</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第二章 审查机制和程序</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未形成书面审查结论出台政策措施的，视为未进行公平竞争审查。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第七条 政策制定机关开展公平竞争审查，应当以适当方式征求利害关系人意见，或者通过政府部门网站、政务新媒体等便于社会公众知晓的方式公开征求意见，并在书面审查结论中说明征求意见情况。</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利害关系人指参与相关市场竞争的经营者、上下游经营者、行业协会商会、消费者以及政策措施可能影响其公平参与市场竞争的其他市场主体。</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第八条 政策制定机关进行公平竞争审查，可以咨询专家学者、法律顾问、专业机构的意见。征求上述方面意见的，应当在书面审查结论中说明有关情况。</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各级联席会议办公室可以根据实际工作需要，建立公平竞争审查工作专家库，便于政策制定机关进行咨询。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对涉及重大公共利益，且在制定过程中被多个单位或者个人反映或者举报涉嫌排除、限制竞争的政策措施，本级联席会议办公室可以主动向政策制定机关提出公平竞争审查意见。</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第十一条 政策制定机关应当对本年度公平竞争审查工作进行总结，于次年1月15日前将书面总结报告报送本级联席会议办公室。</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地方各级联席会议办公室汇总形成本级公平竞争审查工作总体情况，于次年1月20日前报送本级人民政府和上一级联席会议办公室，并以适当方式向社会公开。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第三章 审查标准</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第十三条 市场准入和退出标准。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（一）不得设置不合理或者歧视性的准入和退出条件，包括但不限于：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1.设置明显不必要或者超出实际需要的准入和退出条件，排斥或者限制经营者参与市场竞争；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2.没有法律、行政法规或者国务院规定依据，对不同所有制、地区、组织形式的经营者实施不合理的差别化待遇，设置不平等的市场准入和退出条件；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以备案、登记、注册、目录、年检、年报、监制、认定、认证、认可、检验、监测、审定、指定、配号、复检、复审、换证、要求设立分支机构以及其他任何形式，设定或者变相设定市场准入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4.没有法律、行政法规或者国务院规定依据，对企业注销、破产、挂牌转让、搬迁转移等设定或者变相设定市场退出障碍；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5.以行政许可、行政检查、行政处罚、行政强制等方式，强制或者变相强制企业转让技术，设定或者变相设定市场准入和退出障碍。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（二）未经公平竞争不得授予经营者特许经营权，包括但不限于：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1.在一般竞争性领域实施特许经营或者以特许经营为名增设行政许可；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2.未明确特许经营权期限或者未经法定程序延长特许经营权期限；</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3.未依法采取招标、竞争性谈判等竞争方式，直接将特许经营权授予特定经营者；</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4.设置歧视性条件，使经营者无法公平参与特许经营权竞争。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（三）不得限定经营、购买、使用特定经营者提供的商品和服务，包括但不限于：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1.以明确要求、暗示、拒绝或者拖延行政审批、重复检查、不予接入平台或者网络、违法违规给予奖励补贴等方式，限定或者变相限定经营、购买、使用特定经营者提供的商品和服务；</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2.在招标投标、政府采购中限定投标人所在地、所有制形式、组织形式，或者设定其他不合理的条件排斥或者限制经营者参与招标投标、政府采购活动；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3.没有法律、行政法规或者国务院规定依据，通过设置不合理的项目库、名录库、备选库、资格库等条件，排斥或限制潜在经营者提供商品和服务。</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（四）不得设置没有法律、行政法规或者国务院规定依据的审批或者具有行政审批性质的事前备案程序，包括但不限于：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1.没有法律、行政法规或者国务院规定依据，增设行政审批事项，增加行政审批环节、条件和程序；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2.没有法律、行政法规或者国务院规定依据，设置具有行政审批性质的前置性备案程序。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第十四条 商品和要素自由流动标准。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（一）不得对外地和进口商品、服务实行歧视性价格和歧视性补贴政策，包括但不限于: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1.制定政府定价或者政府指导价时，对外地和进口同类商品、服务制定歧视性价格；</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2.对相关商品、服务进行补贴时，对外地同类商品、服务，国际经贸协定允许外的进口同类商品以及我国作出国际承诺的进口同类服务不予补贴或者给予较低补贴。</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（二）不得限制外地和进口商品、服务进入本地市场或者阻碍本地商品运出、服务输出，包括但不限于：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1.对外地商品、服务规定与本地同类商品、服务不同的技术要求、检验标准，或者采取重复检验、重复认证等歧视性技术措施；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2.对进口商品规定与本地同类商品不同的技术要求、检验标准，或者采取重复检验、重复认证等歧视性技术措施；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3.没有法律、行政法规或者国务院规定依据，对进口服务规定与本地同类服务不同的技术要求、检验标准，或者采取重复检验、重复认证等歧视性技术措施；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4.设置专门针对外地和进口商品、服务的专营、专卖、审批、许可、备案，或者规定不同的条件、程序和期限等；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5.在道路、车站、港口、航空港或者本行政区域边界设置关卡，阻碍外地和进口商品、服务进入本地市场或者本地商品运出和服务输出；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6.通过软件或者互联网设置屏蔽以及采取其他手段，阻碍外地和进口商品、服务进入本地市场或者本地商品运出和服务输出。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（三）不得排斥或者限制外地经营者参加本地招标投标活动，包括但不限于：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1.不依法及时、有效、完整地发布招标信息；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2.直接规定外地经营者不能参与本地特定的招标投标活动；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3.对外地经营者设定歧视性的资质资格要求或者评标评审标准；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4.将经营者在本地区的业绩、所获得的奖项荣誉作为投标条件、加分条件、中标条件或者用于评价企业信用等级，限制或者变相限制外地经营者参加本地招标投标活动；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5.没有法律、行政法规或者国务院规定依据，要求经营者在本地注册设立分支机构，在本地拥有一定办公面积，在本地缴纳社会保险等，限制或者变相限制外地经营者参加本地招标投标活动；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6.通过设定与招标项目的具体特点和实际需要不相适应或者与合同履行无关的资格、技术和商务条件，限制或者变相限制外地经营者参加本地招标投标活动。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（四）不得排斥、限制或者强制外地经营者在本地投资或者设立分支机构，包括但不限于：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1.直接拒绝外地经营者在本地投资或者设立分支机构；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2.没有法律、行政法规或者国务院规定依据，对外地经营者在本地投资的规模、方式以及设立分支机构的地址、模式等进行限制；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3.没有法律、行政法规或者国务院规定依据，直接强制外地经营者在本地投资或者设立分支机构；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4.没有法律、行政法规或者国务院规定依据，将在本地投资或者设立分支机构作为参与本地招标投标、享受补贴和优惠政策等的必要条件，变相强制外地经营者在本地投资或者设立分支机构。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（五）不得对外地经营者在本地的投资或者设立的分支机构实行歧视性待遇，侵害其合法权益，包括但不限于：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1.对外地经营者在本地的投资不给予与本地经营者同等的政策待遇；</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2.对外地经营者在本地设立的分支机构在经营规模、经营方式、税费缴纳等方面规定与本地经营者不同的要求；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3.在节能环保、安全生产、健康卫生、工程质量、市场监管等方面，对外地经营者在本地设立的分支机构规定歧视性监管标准和要求。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第十五条 影响生产经营成本标准。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（一）不得违法给予特定经营者优惠政策，包括但不限于：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1.没有法律、行政法规或者国务院规定依据，给予特定经营者财政奖励和补贴；</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2.没有专门的税收法律、法规和国务院规定依据，给予特定经营者税收优惠政策；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3.没有法律、行政法规或者国务院规定依据，在土地、劳动力、资本、技术、数据等要素获取方面，给予特定经营者优惠政策；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4.没有法律、行政法规或者国务院规定依据，在环保标准、排污权限等方面给予特定经营者特殊待遇；</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5.没有法律、行政法规或者国务院规定依据，对特定经营者减免、缓征或停征行政事业性收费、政府性基金、住房公积金等。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给予特定经营者的优惠政策应当依法公开。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（四）不得在法律规定之外要求经营者提供或扣留经营者各类保证金，包括但不限于：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1.没有法律、行政法规依据或者经国务院批准，要求经营者交纳各类保证金；</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2.限定只能以现金形式交纳投标保证金或履约保证金；</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3.在经营者履行相关程序或者完成相关事项后，不依法退还经营者交纳的保证金及银行同期存款利息。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第十六条 影响生产经营行为标准。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（三）不得超越定价权限进行政府定价，包括但不限于：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1.对实行政府指导价的商品、服务进行政府定价；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2.对不属于本级政府定价目录范围内的商品、服务制定政府定价或者政府指导价；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3.违反《中华人民共和国价格法》等法律法规采取价格干预措施。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（四）不得违法干预实行市场调节价的商品和服务的价格水平，包括但不限于：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1.制定公布商品和服务的统一执行价、参考价；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2.规定商品和服务的最高或者最低限价；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3.干预影响商品和服务价格水平的手续费、折扣或者其他费用。</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32"/>
          <w:szCs w:val="32"/>
        </w:rPr>
      </w:pPr>
      <w:r>
        <w:rPr>
          <w:rFonts w:hint="eastAsia" w:ascii="黑体" w:hAnsi="黑体" w:eastAsia="黑体" w:cs="宋体"/>
          <w:b/>
          <w:bCs/>
          <w:color w:val="333333"/>
          <w:kern w:val="0"/>
          <w:sz w:val="32"/>
          <w:szCs w:val="32"/>
        </w:rPr>
        <w:t>第四章 例外规定</w:t>
      </w:r>
    </w:p>
    <w:p>
      <w:pPr>
        <w:widowControl/>
        <w:jc w:val="left"/>
        <w:rPr>
          <w:rFonts w:hint="eastAsia" w:ascii="宋体" w:hAnsi="宋体" w:eastAsia="宋体" w:cs="宋体"/>
          <w:kern w:val="0"/>
          <w:sz w:val="32"/>
          <w:szCs w:val="32"/>
        </w:rPr>
      </w:pPr>
      <w:r>
        <w:rPr>
          <w:rFonts w:hint="eastAsia" w:ascii="宋体" w:hAnsi="宋体" w:eastAsia="宋体" w:cs="宋体"/>
          <w:color w:val="333333"/>
          <w:kern w:val="0"/>
          <w:sz w:val="32"/>
          <w:szCs w:val="32"/>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第十七条 属于下列情形之一的政策措施，虽然在一定程度上具有限制竞争的效果，但在符合规定的情况下可以出台实施：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（一）维护国家经济安全、文化安全、科技安全或者涉及国防建设的；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（二）为实现扶贫开发、救灾救助等社会保障目的；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（三）为实现节约能源资源、保护生态环境、维护公共卫生健康安全等社会公共利益的；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（四）法律、行政法规规定的其他情形。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属于前款第一项至第三项情形的，政策制定机关应当说明相关政策措施对实现政策目的不可或缺，且不会严重限制市场竞争，并明确实施期限。</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第十八条 政策制定机关应当在书面审查结论中说明政策措施是否适用例外规定。认为适用例外规定的，应当对符合适用例外规定的情形和条件进行详细说明。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第十九条 政策制定机关应当逐年评估适用例外规定的政策措施的实施效果，形成书面评估报告。实施期限到期或者未达到预期效果的政策措施，应当及时停止执行或者进行调整。</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第五章 第三方评估</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第二十条 政策制定机关可以根据工作实际，委托具备相应评估能力的高等院校、科研院所、专业咨询公司等第三方机构，对有关政策措施进行公平竞争评估，或者对公平竞争审查有关工作进行评估。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各级联席会议办公室可以委托第三方机构，对本地公平竞争审查制度总体实施情况开展评估。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第二十一条 政策制定机关在开展公平竞争审查工作的以下阶段和环节，均可以采取第三方评估方式进行：</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（一）对拟出台的政策措施进行公平竞争审查；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（二）对经公平竞争审查出台的政策措施进行定期评估；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（三）对适用例外规定出台的政策措施进行逐年评估；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（四）对公平竞争审查制度实施情况进行综合评价；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（五）与公平竞争审查工作相关的其他阶段和环节。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第二十二条 对拟出台的政策措施进行公平竞争审查时，存在以下情形之一的，应当引入第三方评估：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（一）政策制定机关拟适用例外规定的；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（二）被多个单位或者个人反映或者举报涉嫌违反公平竞争审查标准的。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第二十四条 第三方评估经费纳入预算管理。政策制定机关依法依规做好第三方评估经费保障。</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第六章 监督与责任追究</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各地应当结合实际，建立本地区政策措施抽查机制。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第七章 附则</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第三十条 各地区、各部门在遵循《意见》和本细则规定的基础上，可以根据本地区、本行业实际情况，制定公平竞争审查工作办法和具体措施。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第三十一条 本细则自公布之日起实施。《公平竞争审查制度实施细则（暂行）》（发改价监〔2017〕1849号）同时废止。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仿宋_GB2312" w:cs="宋体"/>
          <w:color w:val="333333"/>
          <w:kern w:val="0"/>
          <w:sz w:val="32"/>
          <w:szCs w:val="32"/>
        </w:rPr>
        <w:t> </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附件：</w:t>
      </w:r>
      <w:r>
        <w:fldChar w:fldCharType="begin"/>
      </w:r>
      <w:r>
        <w:instrText xml:space="preserve"> HYPERLINK "http://gkml.samr.gov.cn/nsjg/fldj/202107/W020210708345402906112.doc" </w:instrText>
      </w:r>
      <w:r>
        <w:fldChar w:fldCharType="separate"/>
      </w:r>
      <w:r>
        <w:rPr>
          <w:rFonts w:hint="eastAsia" w:ascii="仿宋_GB2312" w:hAnsi="微软雅黑" w:eastAsia="仿宋_GB2312" w:cs="宋体"/>
          <w:color w:val="0000FF"/>
          <w:kern w:val="0"/>
          <w:sz w:val="32"/>
          <w:szCs w:val="32"/>
        </w:rPr>
        <w:t>1.公平竞争审查基本流程</w:t>
      </w:r>
      <w:r>
        <w:rPr>
          <w:rFonts w:hint="eastAsia" w:ascii="仿宋_GB2312" w:hAnsi="微软雅黑" w:eastAsia="仿宋_GB2312" w:cs="宋体"/>
          <w:color w:val="0000FF"/>
          <w:kern w:val="0"/>
          <w:sz w:val="32"/>
          <w:szCs w:val="32"/>
        </w:rPr>
        <w:fldChar w:fldCharType="end"/>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fldChar w:fldCharType="begin"/>
      </w:r>
      <w:r>
        <w:instrText xml:space="preserve"> HYPERLINK "http://gkml.samr.gov.cn/nsjg/fldj/202107/W020210708345402916482.doc" </w:instrText>
      </w:r>
      <w:r>
        <w:fldChar w:fldCharType="separate"/>
      </w:r>
      <w:r>
        <w:rPr>
          <w:rFonts w:hint="eastAsia" w:ascii="仿宋_GB2312" w:hAnsi="微软雅黑" w:eastAsia="仿宋_GB2312" w:cs="宋体"/>
          <w:color w:val="0000FF"/>
          <w:kern w:val="0"/>
          <w:sz w:val="32"/>
          <w:szCs w:val="32"/>
        </w:rPr>
        <w:t>2.公平竞争审查表</w:t>
      </w:r>
      <w:r>
        <w:rPr>
          <w:rFonts w:hint="eastAsia" w:ascii="仿宋_GB2312" w:hAnsi="微软雅黑" w:eastAsia="仿宋_GB2312" w:cs="宋体"/>
          <w:color w:val="0000FF"/>
          <w:kern w:val="0"/>
          <w:sz w:val="32"/>
          <w:szCs w:val="32"/>
        </w:rPr>
        <w:fldChar w:fldCharType="end"/>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0156"/>
    <w:rsid w:val="00050156"/>
    <w:rsid w:val="003B68FB"/>
    <w:rsid w:val="5BD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1292</Words>
  <Characters>7365</Characters>
  <Lines>61</Lines>
  <Paragraphs>17</Paragraphs>
  <TotalTime>6</TotalTime>
  <ScaleCrop>false</ScaleCrop>
  <LinksUpToDate>false</LinksUpToDate>
  <CharactersWithSpaces>8640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2021-10-06T07:52:00Z</dcterms:created>
  <dc:creator>Windows 7x32</dc:creator>
  <cp:lastModifiedBy>董长林</cp:lastModifiedBy>
  <dcterms:modified xsi:type="dcterms:W3CDTF">2021-10-07T02:35:50Z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891A8E28764E420BA33506BABC2726E1</vt:lpwstr>
  </property>
</Properties>
</file>