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ind w:right="266" w:firstLine="880" w:firstLineChars="200"/>
        <w:jc w:val="center"/>
        <w:rPr>
          <w:rFonts w:hint="eastAsia" w:ascii="Times New Roman" w:hAnsi="Times New Roman" w:eastAsia="方正小标宋简体" w:cs="宋体"/>
          <w:sz w:val="44"/>
          <w:szCs w:val="44"/>
          <w:lang w:eastAsia="zh-CN"/>
        </w:rPr>
      </w:pPr>
    </w:p>
    <w:p>
      <w:pPr>
        <w:snapToGrid w:val="0"/>
        <w:spacing w:line="590" w:lineRule="exact"/>
        <w:ind w:right="266" w:firstLine="880" w:firstLineChars="200"/>
        <w:jc w:val="center"/>
        <w:rPr>
          <w:rFonts w:hint="eastAsia" w:ascii="Times New Roman" w:hAnsi="Times New Roman" w:eastAsia="方正小标宋简体" w:cs="宋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sz w:val="44"/>
          <w:szCs w:val="44"/>
          <w:lang w:eastAsia="zh-CN"/>
        </w:rPr>
        <w:t>关于《濮阳市惠民惠农财政补贴资金“一卡通”发放管理操作规程（试行）》的政策解读</w:t>
      </w:r>
    </w:p>
    <w:p>
      <w:pPr>
        <w:snapToGrid w:val="0"/>
        <w:spacing w:line="590" w:lineRule="exact"/>
        <w:ind w:right="266" w:firstLine="880" w:firstLineChars="200"/>
        <w:jc w:val="center"/>
        <w:rPr>
          <w:rFonts w:hint="eastAsia" w:ascii="Times New Roman" w:hAnsi="Times New Roman" w:eastAsia="方正小标宋简体" w:cs="宋体"/>
          <w:sz w:val="44"/>
          <w:szCs w:val="44"/>
          <w:lang w:eastAsia="zh-CN"/>
        </w:rPr>
      </w:pPr>
    </w:p>
    <w:p>
      <w:pPr>
        <w:snapToGrid w:val="0"/>
        <w:spacing w:line="590" w:lineRule="exact"/>
        <w:ind w:right="266" w:firstLine="880" w:firstLineChars="200"/>
        <w:jc w:val="both"/>
        <w:rPr>
          <w:rFonts w:hint="eastAsia" w:ascii="Times New Roman" w:hAnsi="Times New Roman" w:eastAsia="方正小标宋简体" w:cs="宋体"/>
          <w:sz w:val="44"/>
          <w:szCs w:val="44"/>
          <w:lang w:val="en-US" w:eastAsia="zh-CN"/>
        </w:rPr>
      </w:pPr>
    </w:p>
    <w:p>
      <w:pPr>
        <w:autoSpaceDE/>
        <w:autoSpaceDN/>
        <w:spacing w:line="56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为进一步规范惠民惠农财政补贴资金“一卡通”发放管理，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根据</w:t>
      </w:r>
      <w:r>
        <w:rPr>
          <w:rFonts w:ascii="仿宋_GB2312" w:hAnsi="Times New Roman" w:eastAsia="仿宋_GB2312"/>
          <w:sz w:val="32"/>
          <w:szCs w:val="32"/>
        </w:rPr>
        <w:t>《河南省财政厅关于印发&lt;河南省惠民惠农财政补贴资金“一卡通”发放管理操作规范（试行）&gt;的通知》（豫财监〔2021〕38号）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ascii="仿宋_GB2312" w:hAnsi="Times New Roman" w:eastAsia="仿宋_GB2312"/>
          <w:sz w:val="32"/>
          <w:szCs w:val="32"/>
        </w:rPr>
        <w:t>我市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结合</w:t>
      </w:r>
      <w:r>
        <w:rPr>
          <w:rFonts w:ascii="仿宋_GB2312" w:hAnsi="Times New Roman" w:eastAsia="仿宋_GB2312"/>
          <w:sz w:val="32"/>
          <w:szCs w:val="32"/>
        </w:rPr>
        <w:t>自身情况，财政局研究制定了《濮阳市惠民惠农财政补贴资金“一卡通”发放管理操作规程（试行）》，主要内容包括：总则、工作职责、补贴项目管理、补贴对象信息管理、代发金融机构选择、银行账户信息采集、补贴资金发放流程、补贴资金对账和档案管理、监督与检查和附则共十个方面。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eastAsia="zh-CN"/>
        </w:rPr>
        <w:t>制定操作规程</w:t>
      </w:r>
      <w:r>
        <w:rPr>
          <w:rFonts w:ascii="仿宋_GB2312" w:hAnsi="Times New Roman" w:eastAsia="仿宋_GB2312"/>
          <w:sz w:val="32"/>
          <w:szCs w:val="32"/>
        </w:rPr>
        <w:t>规范各县区、市直相关部门关于推进“一卡通”管理工作。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34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2021-11-16T01:59:50Z</dcterms:created>
  <dc:creator>lenovo</dc:creator>
  <cp:lastModifiedBy>lenovo</cp:lastModifiedBy>
  <dcterms:modified xsi:type="dcterms:W3CDTF">2021-11-16T02:07:07Z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4ABDB58204914A8C88E3017B0EF4065F</vt:lpwstr>
  </property>
</Properties>
</file>