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8" w:leftChars="-337"/>
        <w:jc w:val="center"/>
        <w:rPr>
          <w:rFonts w:ascii="宋体"/>
          <w:b/>
          <w:bCs/>
          <w:color w:val="FF0000"/>
          <w:sz w:val="84"/>
          <w:szCs w:val="84"/>
        </w:rPr>
      </w:pPr>
      <w:r>
        <w:rPr>
          <w:rFonts w:hint="eastAsia" w:ascii="宋体" w:hAnsi="宋体"/>
          <w:b/>
          <w:bCs/>
          <w:color w:val="FF0000"/>
          <w:sz w:val="84"/>
          <w:szCs w:val="84"/>
          <w:lang w:val="en-US" w:eastAsia="zh-CN"/>
        </w:rPr>
        <w:t xml:space="preserve"> </w:t>
      </w:r>
      <w:r>
        <w:rPr>
          <w:rFonts w:hint="eastAsia" w:ascii="宋体" w:hAnsi="宋体"/>
          <w:b/>
          <w:bCs/>
          <w:color w:val="FF0000"/>
          <w:sz w:val="84"/>
          <w:szCs w:val="84"/>
        </w:rPr>
        <w:t>中国总会计师协会文件</w:t>
      </w:r>
    </w:p>
    <w:p>
      <w:pPr>
        <w:spacing w:beforeLines="50" w:line="400" w:lineRule="exact"/>
        <w:jc w:val="center"/>
        <w:rPr>
          <w:rFonts w:ascii="仿宋_GB2312" w:eastAsia="仿宋_GB2312"/>
          <w:sz w:val="32"/>
          <w:szCs w:val="32"/>
        </w:rPr>
      </w:pPr>
      <w:r>
        <w:rPr>
          <w:rFonts w:hint="eastAsia" w:ascii="仿宋_GB2312" w:eastAsia="仿宋_GB2312"/>
          <w:sz w:val="32"/>
          <w:szCs w:val="32"/>
        </w:rPr>
        <w:t>中总秘〔</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61</w:t>
      </w:r>
      <w:r>
        <w:rPr>
          <w:rFonts w:hint="eastAsia" w:ascii="仿宋_GB2312" w:eastAsia="仿宋_GB2312"/>
          <w:sz w:val="32"/>
          <w:szCs w:val="32"/>
        </w:rPr>
        <w:t>号</w:t>
      </w:r>
    </w:p>
    <w:p>
      <w:pPr>
        <w:spacing w:beforeLines="100"/>
        <w:jc w:val="center"/>
        <w:rPr>
          <w:rFonts w:ascii="宋体" w:cs="宋体"/>
          <w:b/>
          <w:kern w:val="1"/>
          <w:sz w:val="36"/>
          <w:szCs w:val="36"/>
        </w:rPr>
      </w:pPr>
      <w: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83185</wp:posOffset>
                </wp:positionV>
                <wp:extent cx="5955665" cy="4445"/>
                <wp:effectExtent l="0" t="0" r="0" b="0"/>
                <wp:wrapNone/>
                <wp:docPr id="1" name="直线 2"/>
                <wp:cNvGraphicFramePr/>
                <a:graphic xmlns:a="http://schemas.openxmlformats.org/drawingml/2006/main">
                  <a:graphicData uri="http://schemas.microsoft.com/office/word/2010/wordprocessingShape">
                    <wps:wsp>
                      <wps:cNvCnPr/>
                      <wps:spPr>
                        <a:xfrm>
                          <a:off x="0" y="0"/>
                          <a:ext cx="5955665" cy="444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25pt;margin-top:6.55pt;height:0.35pt;width:468.95pt;z-index:251658240;mso-width-relative:page;mso-height-relative:page;" filled="f" stroked="t" coordsize="21600,21600" o:gfxdata="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OuFzYAAAACQEAAA8AAAAAAAAAAQAgAAAA&#10;IgAAAGRycy9kb3ducmV2LnhtbFBLAQIUABQAAAAIAIdO4kBJWDf50gEAAJEDAAAOAAAAAAAAAAEA&#10;IAAAACcBAABkcnMvZTJvRG9jLnhtbFBLBQYAAAAABgAGAFkBAABrBQAAAAA=&#10;">
                <v:fill on="f" focussize="0,0"/>
                <v:stroke weight="1.5pt" color="#FF0000" joinstyle="round"/>
                <v:imagedata o:title=""/>
                <o:lock v:ext="edit" aspectratio="f"/>
              </v:line>
            </w:pict>
          </mc:Fallback>
        </mc:AlternateContent>
      </w:r>
      <w:r>
        <w:rPr>
          <w:rFonts w:hint="eastAsia" w:ascii="宋体" w:hAnsi="宋体" w:cs="宋体"/>
          <w:b/>
          <w:kern w:val="1"/>
          <w:sz w:val="36"/>
          <w:szCs w:val="36"/>
        </w:rPr>
        <w:t>关于举办新时代财务管理人员实务操作与素质提升</w:t>
      </w:r>
    </w:p>
    <w:p>
      <w:pPr>
        <w:widowControl/>
        <w:ind w:firstLine="361" w:firstLineChars="100"/>
        <w:jc w:val="center"/>
        <w:rPr>
          <w:rFonts w:ascii="宋体" w:cs="宋体"/>
          <w:b/>
          <w:kern w:val="1"/>
          <w:sz w:val="36"/>
          <w:szCs w:val="36"/>
        </w:rPr>
      </w:pPr>
      <w:r>
        <w:rPr>
          <w:rFonts w:hint="eastAsia" w:ascii="宋体" w:hAnsi="宋体" w:cs="宋体"/>
          <w:b/>
          <w:kern w:val="1"/>
          <w:sz w:val="36"/>
          <w:szCs w:val="36"/>
        </w:rPr>
        <w:t>系列培训班的通知</w:t>
      </w:r>
    </w:p>
    <w:p>
      <w:pPr>
        <w:widowControl/>
        <w:spacing w:beforeLines="50" w:line="500" w:lineRule="exact"/>
        <w:jc w:val="left"/>
        <w:rPr>
          <w:rFonts w:ascii="仿宋_GB2312" w:hAnsi="仿宋_GB2312" w:eastAsia="仿宋_GB2312" w:cs="仿宋_GB2312"/>
          <w:bCs/>
          <w:spacing w:val="8"/>
          <w:sz w:val="30"/>
          <w:szCs w:val="30"/>
        </w:rPr>
      </w:pPr>
      <w:r>
        <w:rPr>
          <w:rFonts w:hint="eastAsia" w:ascii="仿宋_GB2312" w:hAnsi="仿宋_GB2312" w:eastAsia="仿宋_GB2312" w:cs="仿宋_GB2312"/>
          <w:bCs/>
          <w:spacing w:val="8"/>
          <w:sz w:val="30"/>
          <w:szCs w:val="30"/>
        </w:rPr>
        <w:t>各地方总会计师协会（研究会）、各分会，各副会长单位，各常务理事、理事及会员单位等有关单位：</w:t>
      </w:r>
    </w:p>
    <w:p>
      <w:pPr>
        <w:widowControl/>
        <w:spacing w:line="500" w:lineRule="exact"/>
        <w:ind w:firstLine="632" w:firstLineChars="200"/>
        <w:jc w:val="left"/>
        <w:rPr>
          <w:rFonts w:ascii="仿宋_GB2312" w:hAnsi="仿宋_GB2312" w:eastAsia="仿宋_GB2312" w:cs="仿宋_GB2312"/>
          <w:bCs/>
          <w:spacing w:val="8"/>
          <w:sz w:val="30"/>
          <w:szCs w:val="30"/>
        </w:rPr>
      </w:pPr>
      <w:r>
        <w:rPr>
          <w:rFonts w:hint="eastAsia" w:ascii="仿宋_GB2312" w:hAnsi="仿宋_GB2312" w:eastAsia="仿宋_GB2312" w:cs="仿宋_GB2312"/>
          <w:bCs/>
          <w:spacing w:val="8"/>
          <w:sz w:val="30"/>
          <w:szCs w:val="30"/>
        </w:rPr>
        <w:t>财务管理人员既是企业管理的参与者，也是公司战略决策的执行者</w:t>
      </w:r>
      <w:r>
        <w:rPr>
          <w:rFonts w:ascii="仿宋_GB2312" w:hAnsi="仿宋_GB2312" w:eastAsia="仿宋_GB2312" w:cs="仿宋_GB2312"/>
          <w:bCs/>
          <w:spacing w:val="8"/>
          <w:sz w:val="30"/>
          <w:szCs w:val="30"/>
        </w:rPr>
        <w:t>,</w:t>
      </w:r>
      <w:r>
        <w:rPr>
          <w:rFonts w:hint="eastAsia" w:ascii="仿宋_GB2312" w:hAnsi="仿宋_GB2312" w:eastAsia="仿宋_GB2312" w:cs="仿宋_GB2312"/>
          <w:bCs/>
          <w:spacing w:val="8"/>
          <w:sz w:val="30"/>
          <w:szCs w:val="30"/>
        </w:rPr>
        <w:t>财务管理人员的道德修养和专业素质、分析判断和组织协调能力、参与决策和沟通交流能力直接关系企业转型升级和创新发展的成败。</w:t>
      </w:r>
    </w:p>
    <w:p>
      <w:pPr>
        <w:widowControl/>
        <w:spacing w:line="500" w:lineRule="exact"/>
        <w:ind w:firstLine="632" w:firstLineChars="200"/>
        <w:jc w:val="left"/>
        <w:rPr>
          <w:rFonts w:ascii="仿宋_GB2312" w:hAnsi="仿宋_GB2312" w:eastAsia="仿宋_GB2312" w:cs="仿宋_GB2312"/>
          <w:bCs/>
          <w:spacing w:val="8"/>
          <w:sz w:val="30"/>
          <w:szCs w:val="30"/>
        </w:rPr>
      </w:pPr>
      <w:r>
        <w:rPr>
          <w:rFonts w:hint="eastAsia" w:ascii="仿宋_GB2312" w:hAnsi="仿宋_GB2312" w:eastAsia="仿宋_GB2312" w:cs="仿宋_GB2312"/>
          <w:bCs/>
          <w:spacing w:val="8"/>
          <w:sz w:val="30"/>
          <w:szCs w:val="30"/>
        </w:rPr>
        <w:t>为积极贯彻落实党的十九届四中全会精神，坚持以服务发展、以用为本的培训工作宗旨，中国总会计师协会决定举办新时代财务管理人员实务操作与素质提升系列培训班，由北京华夏星源国际文化传播有限公司具体承办。</w:t>
      </w:r>
    </w:p>
    <w:p>
      <w:pPr>
        <w:widowControl/>
        <w:spacing w:line="500" w:lineRule="exact"/>
        <w:ind w:firstLine="632" w:firstLineChars="200"/>
        <w:jc w:val="left"/>
        <w:rPr>
          <w:rFonts w:ascii="仿宋_GB2312" w:hAnsi="仿宋_GB2312" w:eastAsia="仿宋_GB2312" w:cs="仿宋_GB2312"/>
          <w:bCs/>
          <w:spacing w:val="8"/>
          <w:sz w:val="28"/>
          <w:szCs w:val="28"/>
        </w:rPr>
      </w:pPr>
      <w:r>
        <w:rPr>
          <w:rFonts w:hint="eastAsia" w:ascii="仿宋_GB2312" w:hAnsi="仿宋_GB2312" w:eastAsia="仿宋_GB2312" w:cs="仿宋_GB2312"/>
          <w:bCs/>
          <w:spacing w:val="8"/>
          <w:sz w:val="30"/>
          <w:szCs w:val="30"/>
        </w:rPr>
        <w:t>培训班具体工作方案及报名方式见本通知附件，欢迎各企业和相关单位组织人员参加</w:t>
      </w:r>
      <w:r>
        <w:rPr>
          <w:rFonts w:hint="eastAsia" w:ascii="仿宋_GB2312" w:hAnsi="仿宋_GB2312" w:eastAsia="仿宋_GB2312" w:cs="仿宋_GB2312"/>
          <w:bCs/>
          <w:spacing w:val="8"/>
          <w:sz w:val="28"/>
          <w:szCs w:val="28"/>
        </w:rPr>
        <w:t>培训学习。</w:t>
      </w:r>
    </w:p>
    <w:p>
      <w:pPr>
        <w:widowControl/>
        <w:spacing w:line="500" w:lineRule="exact"/>
        <w:jc w:val="left"/>
        <w:rPr>
          <w:rFonts w:ascii="仿宋_GB2312" w:hAnsi="仿宋_GB2312" w:eastAsia="仿宋_GB2312" w:cs="仿宋_GB2312"/>
          <w:bCs/>
          <w:spacing w:val="8"/>
          <w:sz w:val="30"/>
          <w:szCs w:val="30"/>
        </w:rPr>
      </w:pPr>
      <w:r>
        <w:rPr>
          <w:rFonts w:hint="eastAsia" w:ascii="仿宋_GB2312" w:hAnsi="仿宋_GB2312" w:eastAsia="仿宋_GB2312" w:cs="仿宋_GB2312"/>
          <w:bCs/>
          <w:spacing w:val="8"/>
          <w:sz w:val="30"/>
          <w:szCs w:val="30"/>
        </w:rPr>
        <w:t>附件：</w:t>
      </w:r>
    </w:p>
    <w:p>
      <w:pPr>
        <w:widowControl/>
        <w:numPr>
          <w:ilvl w:val="0"/>
          <w:numId w:val="1"/>
        </w:numPr>
        <w:spacing w:line="5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新时代财务管理人员实务操作与素质提升系列培训班工作方案</w:t>
      </w:r>
      <w:r>
        <w:rPr>
          <w:rFonts w:ascii="仿宋_GB2312" w:hAnsi="仿宋_GB2312" w:eastAsia="仿宋_GB2312" w:cs="仿宋_GB2312"/>
          <w:bCs/>
          <w:spacing w:val="8"/>
          <w:sz w:val="28"/>
          <w:szCs w:val="28"/>
        </w:rPr>
        <w:t xml:space="preserve">            </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、新时代财务管理人员实务操作与素质提升系列培训班专题介绍</w:t>
      </w:r>
    </w:p>
    <w:p>
      <w:pPr>
        <w:widowControl/>
        <w:spacing w:line="500" w:lineRule="exact"/>
        <w:jc w:val="left"/>
        <w:rPr>
          <w:rFonts w:ascii="仿宋_GB2312" w:hAnsi="仿宋_GB2312" w:eastAsia="仿宋_GB2312" w:cs="仿宋_GB2312"/>
          <w:color w:val="333333"/>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、新时代财务管理人员实务操作与素质提升系列培训班报名回执</w:t>
      </w:r>
    </w:p>
    <w:p>
      <w:pPr>
        <w:rPr>
          <w:rFonts w:ascii="仿宋_GB2312" w:hAnsi="仿宋_GB2312" w:eastAsia="仿宋_GB2312" w:cs="仿宋_GB2312"/>
          <w:sz w:val="30"/>
          <w:szCs w:val="30"/>
        </w:rPr>
      </w:pPr>
    </w:p>
    <w:p>
      <w:pPr>
        <w:widowControl/>
        <w:spacing w:line="480" w:lineRule="exact"/>
        <w:ind w:firstLine="4410" w:firstLineChars="2100"/>
        <w:jc w:val="left"/>
        <w:rPr>
          <w:rFonts w:ascii="仿宋_GB2312" w:hAnsi="仿宋_GB2312" w:eastAsia="仿宋_GB2312" w:cs="仿宋_GB2312"/>
          <w:sz w:val="28"/>
          <w:szCs w:val="28"/>
        </w:rPr>
      </w:pPr>
      <w:r>
        <w:drawing>
          <wp:anchor distT="0" distB="0" distL="114300" distR="114300" simplePos="0" relativeHeight="251659264" behindDoc="1" locked="0" layoutInCell="1" allowOverlap="1">
            <wp:simplePos x="0" y="0"/>
            <wp:positionH relativeFrom="column">
              <wp:posOffset>4643755</wp:posOffset>
            </wp:positionH>
            <wp:positionV relativeFrom="paragraph">
              <wp:posOffset>7747000</wp:posOffset>
            </wp:positionV>
            <wp:extent cx="1781810" cy="1781810"/>
            <wp:effectExtent l="0" t="0" r="8890" b="8890"/>
            <wp:wrapNone/>
            <wp:docPr id="2"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r>
        <w:rPr>
          <w:rFonts w:hint="eastAsia" w:ascii="仿宋_GB2312" w:hAnsi="仿宋_GB2312" w:eastAsia="仿宋_GB2312" w:cs="仿宋_GB2312"/>
          <w:sz w:val="28"/>
          <w:szCs w:val="28"/>
        </w:rPr>
        <w:t>中国总会计师协会秘书处</w:t>
      </w:r>
    </w:p>
    <w:p>
      <w:pPr>
        <w:widowControl/>
        <w:spacing w:line="480" w:lineRule="exact"/>
        <w:ind w:firstLine="4760" w:firstLineChars="17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二〇二</w:t>
      </w:r>
      <w:r>
        <w:drawing>
          <wp:anchor distT="0" distB="0" distL="114300" distR="114300" simplePos="0" relativeHeight="251662336" behindDoc="1" locked="0" layoutInCell="1" allowOverlap="1">
            <wp:simplePos x="0" y="0"/>
            <wp:positionH relativeFrom="column">
              <wp:posOffset>4656455</wp:posOffset>
            </wp:positionH>
            <wp:positionV relativeFrom="paragraph">
              <wp:posOffset>7696200</wp:posOffset>
            </wp:positionV>
            <wp:extent cx="1781810" cy="1781810"/>
            <wp:effectExtent l="0" t="0" r="8890" b="8890"/>
            <wp:wrapNone/>
            <wp:docPr id="9"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r>
        <w:rPr>
          <w:rFonts w:hint="eastAsia" w:ascii="仿宋_GB2312" w:hAnsi="仿宋_GB2312" w:eastAsia="仿宋_GB2312" w:cs="仿宋_GB2312"/>
          <w:sz w:val="28"/>
          <w:szCs w:val="28"/>
        </w:rPr>
        <w:t>〇</w:t>
      </w:r>
      <w:r>
        <w:drawing>
          <wp:anchor distT="0" distB="0" distL="114300" distR="114300" simplePos="0" relativeHeight="251661312" behindDoc="1" locked="0" layoutInCell="1" allowOverlap="1">
            <wp:simplePos x="0" y="0"/>
            <wp:positionH relativeFrom="column">
              <wp:posOffset>4631055</wp:posOffset>
            </wp:positionH>
            <wp:positionV relativeFrom="paragraph">
              <wp:posOffset>7708900</wp:posOffset>
            </wp:positionV>
            <wp:extent cx="1781810" cy="1781810"/>
            <wp:effectExtent l="0" t="0" r="8890" b="8890"/>
            <wp:wrapNone/>
            <wp:docPr id="7"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r>
        <w:rPr>
          <w:rFonts w:hint="eastAsia" w:ascii="仿宋_GB2312" w:hAnsi="仿宋_GB2312" w:eastAsia="仿宋_GB2312" w:cs="仿宋_GB2312"/>
          <w:sz w:val="28"/>
          <w:szCs w:val="28"/>
        </w:rPr>
        <w:t>年六月八</w:t>
      </w:r>
      <w:r>
        <w:rPr>
          <w:rFonts w:hint="eastAsia" w:ascii="仿宋_GB2312" w:hAnsi="仿宋_GB2312" w:eastAsia="仿宋_GB2312" w:cs="仿宋_GB2312"/>
          <w:sz w:val="28"/>
          <w:szCs w:val="28"/>
          <w:lang w:eastAsia="zh-CN"/>
        </w:rPr>
        <w:t>日</w:t>
      </w:r>
      <w:bookmarkStart w:id="0" w:name="_GoBack"/>
      <w:bookmarkEnd w:id="0"/>
      <w:r>
        <w:drawing>
          <wp:anchor distT="0" distB="0" distL="114300" distR="114300" simplePos="0" relativeHeight="251663360" behindDoc="1" locked="0" layoutInCell="1" allowOverlap="1">
            <wp:simplePos x="0" y="0"/>
            <wp:positionH relativeFrom="column">
              <wp:posOffset>4808855</wp:posOffset>
            </wp:positionH>
            <wp:positionV relativeFrom="paragraph">
              <wp:posOffset>7848600</wp:posOffset>
            </wp:positionV>
            <wp:extent cx="1781810" cy="1781810"/>
            <wp:effectExtent l="0" t="0" r="8890" b="8890"/>
            <wp:wrapNone/>
            <wp:docPr id="10"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p>
    <w:p>
      <w:pPr>
        <w:snapToGrid w:val="0"/>
        <w:spacing w:line="460" w:lineRule="exact"/>
        <w:rPr>
          <w:rFonts w:hint="eastAsia" w:ascii="宋体" w:hAnsi="宋体" w:cs="宋体"/>
          <w:bCs/>
          <w:spacing w:val="8"/>
          <w:kern w:val="1"/>
          <w:sz w:val="28"/>
          <w:szCs w:val="28"/>
        </w:rPr>
      </w:pPr>
      <w:r>
        <w:drawing>
          <wp:anchor distT="0" distB="0" distL="114300" distR="114300" simplePos="0" relativeHeight="251660288" behindDoc="1" locked="0" layoutInCell="1" allowOverlap="1">
            <wp:simplePos x="0" y="0"/>
            <wp:positionH relativeFrom="column">
              <wp:posOffset>4643755</wp:posOffset>
            </wp:positionH>
            <wp:positionV relativeFrom="paragraph">
              <wp:posOffset>7747000</wp:posOffset>
            </wp:positionV>
            <wp:extent cx="1781810" cy="1781810"/>
            <wp:effectExtent l="0" t="0" r="8890" b="8890"/>
            <wp:wrapNone/>
            <wp:docPr id="6" name="图片 2" descr="中总协 秘书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总协 秘书处章"/>
                    <pic:cNvPicPr>
                      <a:picLocks noChangeAspect="1"/>
                    </pic:cNvPicPr>
                  </pic:nvPicPr>
                  <pic:blipFill>
                    <a:blip r:embed="rId8"/>
                    <a:stretch>
                      <a:fillRect/>
                    </a:stretch>
                  </pic:blipFill>
                  <pic:spPr>
                    <a:xfrm>
                      <a:off x="0" y="0"/>
                      <a:ext cx="1781810" cy="1781810"/>
                    </a:xfrm>
                    <a:prstGeom prst="rect">
                      <a:avLst/>
                    </a:prstGeom>
                    <a:noFill/>
                    <a:ln>
                      <a:noFill/>
                    </a:ln>
                  </pic:spPr>
                </pic:pic>
              </a:graphicData>
            </a:graphic>
          </wp:anchor>
        </w:drawing>
      </w:r>
    </w:p>
    <w:p>
      <w:pPr>
        <w:snapToGrid w:val="0"/>
        <w:spacing w:line="460" w:lineRule="exact"/>
        <w:rPr>
          <w:rFonts w:ascii="宋体" w:cs="宋体"/>
          <w:b/>
          <w:color w:val="000000"/>
          <w:sz w:val="32"/>
          <w:szCs w:val="32"/>
          <w:shd w:val="clear" w:color="auto" w:fill="FFFFFF"/>
        </w:rPr>
      </w:pPr>
      <w:r>
        <w:rPr>
          <w:rFonts w:hint="eastAsia" w:ascii="宋体" w:hAnsi="宋体" w:cs="宋体"/>
          <w:b w:val="0"/>
          <w:bCs/>
          <w:spacing w:val="8"/>
          <w:kern w:val="1"/>
          <w:sz w:val="28"/>
          <w:szCs w:val="28"/>
        </w:rPr>
        <w:t>附件</w:t>
      </w:r>
      <w:r>
        <w:rPr>
          <w:rFonts w:ascii="宋体" w:hAnsi="宋体" w:cs="宋体"/>
          <w:b w:val="0"/>
          <w:bCs/>
          <w:spacing w:val="8"/>
          <w:kern w:val="1"/>
          <w:sz w:val="28"/>
          <w:szCs w:val="28"/>
        </w:rPr>
        <w:t>1</w:t>
      </w:r>
      <w:r>
        <w:rPr>
          <w:rFonts w:hint="eastAsia" w:ascii="宋体" w:hAnsi="宋体" w:cs="宋体"/>
          <w:b w:val="0"/>
          <w:bCs/>
          <w:spacing w:val="8"/>
          <w:kern w:val="1"/>
          <w:sz w:val="28"/>
          <w:szCs w:val="28"/>
        </w:rPr>
        <w:t>：</w:t>
      </w:r>
      <w:r>
        <w:rPr>
          <w:rFonts w:ascii="宋体" w:hAnsi="宋体" w:cs="宋体"/>
          <w:b/>
          <w:color w:val="000000"/>
          <w:sz w:val="32"/>
          <w:szCs w:val="32"/>
          <w:shd w:val="clear" w:color="auto" w:fill="FFFFFF"/>
        </w:rPr>
        <w:t xml:space="preserve"> </w:t>
      </w:r>
    </w:p>
    <w:p>
      <w:pPr>
        <w:snapToGrid w:val="0"/>
        <w:spacing w:line="460" w:lineRule="exact"/>
        <w:ind w:right="-409"/>
        <w:jc w:val="center"/>
        <w:rPr>
          <w:rFonts w:ascii="宋体" w:cs="宋体"/>
          <w:b/>
          <w:color w:val="000000"/>
          <w:kern w:val="0"/>
          <w:sz w:val="32"/>
          <w:szCs w:val="32"/>
        </w:rPr>
      </w:pPr>
      <w:r>
        <w:rPr>
          <w:rFonts w:hint="eastAsia" w:ascii="宋体" w:hAnsi="宋体" w:cs="宋体"/>
          <w:b/>
          <w:color w:val="000000"/>
          <w:kern w:val="0"/>
          <w:sz w:val="32"/>
          <w:szCs w:val="32"/>
        </w:rPr>
        <w:t>新时代财务管理人员实务操作与素质提升系列培训班工作方案</w:t>
      </w:r>
    </w:p>
    <w:p>
      <w:pPr>
        <w:widowControl/>
        <w:spacing w:line="460" w:lineRule="exact"/>
        <w:jc w:val="left"/>
        <w:rPr>
          <w:rFonts w:ascii="宋体" w:cs="宋体"/>
          <w:bCs/>
          <w:spacing w:val="8"/>
          <w:sz w:val="28"/>
          <w:szCs w:val="28"/>
        </w:rPr>
      </w:pPr>
      <w:r>
        <w:rPr>
          <w:rFonts w:hint="eastAsia" w:ascii="宋体" w:hAnsi="宋体" w:cs="宋体"/>
          <w:bCs/>
          <w:spacing w:val="8"/>
          <w:sz w:val="28"/>
          <w:szCs w:val="28"/>
        </w:rPr>
        <w:t>主管主办单位：中国总会计师协会</w:t>
      </w:r>
    </w:p>
    <w:p>
      <w:pPr>
        <w:widowControl/>
        <w:spacing w:line="460" w:lineRule="exact"/>
        <w:jc w:val="left"/>
        <w:rPr>
          <w:rFonts w:ascii="宋体" w:cs="宋体"/>
          <w:bCs/>
          <w:spacing w:val="8"/>
          <w:sz w:val="28"/>
          <w:szCs w:val="28"/>
        </w:rPr>
      </w:pPr>
      <w:r>
        <w:rPr>
          <w:rFonts w:hint="eastAsia" w:ascii="宋体" w:hAnsi="宋体" w:cs="宋体"/>
          <w:bCs/>
          <w:spacing w:val="8"/>
          <w:sz w:val="28"/>
          <w:szCs w:val="28"/>
        </w:rPr>
        <w:t>委托承办单位：北京华夏星源国际文化传播有限公司</w:t>
      </w:r>
    </w:p>
    <w:p>
      <w:pPr>
        <w:widowControl/>
        <w:numPr>
          <w:ilvl w:val="0"/>
          <w:numId w:val="0"/>
        </w:numPr>
        <w:spacing w:line="440" w:lineRule="exact"/>
        <w:jc w:val="left"/>
        <w:rPr>
          <w:rFonts w:ascii="宋体" w:cs="宋体"/>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培训时间安排</w:t>
      </w:r>
    </w:p>
    <w:tbl>
      <w:tblPr>
        <w:tblStyle w:val="13"/>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768"/>
        <w:gridCol w:w="3105"/>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widowControl/>
              <w:spacing w:line="440" w:lineRule="exact"/>
              <w:jc w:val="center"/>
              <w:rPr>
                <w:rFonts w:ascii="宋体" w:cs="宋体"/>
                <w:b/>
                <w:spacing w:val="8"/>
                <w:sz w:val="28"/>
                <w:szCs w:val="28"/>
              </w:rPr>
            </w:pPr>
            <w:r>
              <w:rPr>
                <w:rFonts w:hint="eastAsia" w:ascii="宋体" w:hAnsi="宋体" w:cs="宋体"/>
                <w:b/>
                <w:spacing w:val="8"/>
                <w:sz w:val="28"/>
                <w:szCs w:val="28"/>
              </w:rPr>
              <w:t>序号</w:t>
            </w:r>
          </w:p>
        </w:tc>
        <w:tc>
          <w:tcPr>
            <w:tcW w:w="3768" w:type="dxa"/>
            <w:vAlign w:val="center"/>
          </w:tcPr>
          <w:p>
            <w:pPr>
              <w:widowControl/>
              <w:spacing w:line="440" w:lineRule="exact"/>
              <w:jc w:val="center"/>
              <w:rPr>
                <w:rFonts w:ascii="宋体" w:cs="宋体"/>
                <w:b/>
                <w:spacing w:val="8"/>
                <w:sz w:val="28"/>
                <w:szCs w:val="28"/>
              </w:rPr>
            </w:pPr>
            <w:r>
              <w:rPr>
                <w:rFonts w:hint="eastAsia" w:ascii="宋体" w:hAnsi="宋体" w:cs="宋体"/>
                <w:b/>
                <w:spacing w:val="8"/>
                <w:sz w:val="28"/>
                <w:szCs w:val="28"/>
              </w:rPr>
              <w:t>培训时间</w:t>
            </w:r>
          </w:p>
        </w:tc>
        <w:tc>
          <w:tcPr>
            <w:tcW w:w="3105" w:type="dxa"/>
            <w:vAlign w:val="center"/>
          </w:tcPr>
          <w:p>
            <w:pPr>
              <w:widowControl/>
              <w:spacing w:line="440" w:lineRule="exact"/>
              <w:jc w:val="center"/>
              <w:rPr>
                <w:rFonts w:ascii="宋体" w:cs="宋体"/>
                <w:b/>
                <w:spacing w:val="8"/>
                <w:sz w:val="28"/>
                <w:szCs w:val="28"/>
              </w:rPr>
            </w:pPr>
            <w:r>
              <w:rPr>
                <w:rFonts w:hint="eastAsia" w:ascii="宋体" w:hAnsi="宋体" w:cs="宋体"/>
                <w:b/>
                <w:spacing w:val="8"/>
                <w:sz w:val="28"/>
                <w:szCs w:val="28"/>
              </w:rPr>
              <w:t>培训地点</w:t>
            </w:r>
          </w:p>
        </w:tc>
        <w:tc>
          <w:tcPr>
            <w:tcW w:w="1990" w:type="dxa"/>
            <w:vAlign w:val="center"/>
          </w:tcPr>
          <w:p>
            <w:pPr>
              <w:widowControl/>
              <w:spacing w:line="440" w:lineRule="exact"/>
              <w:ind w:firstLine="297" w:firstLineChars="100"/>
              <w:jc w:val="center"/>
              <w:rPr>
                <w:rFonts w:ascii="宋体" w:cs="宋体"/>
                <w:b/>
                <w:spacing w:val="8"/>
                <w:sz w:val="28"/>
                <w:szCs w:val="28"/>
              </w:rPr>
            </w:pPr>
            <w:r>
              <w:rPr>
                <w:rFonts w:hint="eastAsia" w:ascii="宋体" w:hAnsi="宋体" w:cs="宋体"/>
                <w:b/>
                <w:spacing w:val="8"/>
                <w:sz w:val="28"/>
                <w:szCs w:val="28"/>
              </w:rPr>
              <w:t>培训专题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5</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9</w:t>
            </w:r>
            <w:r>
              <w:rPr>
                <w:rFonts w:hint="eastAsia" w:ascii="宋体" w:hAnsi="宋体" w:cs="宋体"/>
                <w:b/>
                <w:bCs w:val="0"/>
                <w:spacing w:val="8"/>
                <w:sz w:val="24"/>
              </w:rPr>
              <w:t>月</w:t>
            </w:r>
            <w:r>
              <w:rPr>
                <w:rFonts w:ascii="宋体" w:hAnsi="宋体" w:cs="宋体"/>
                <w:b/>
                <w:bCs w:val="0"/>
                <w:spacing w:val="8"/>
                <w:sz w:val="24"/>
              </w:rPr>
              <w:t>15-19</w:t>
            </w:r>
            <w:r>
              <w:rPr>
                <w:rFonts w:hint="eastAsia" w:ascii="宋体" w:hAnsi="宋体" w:cs="宋体"/>
                <w:b/>
                <w:bCs w:val="0"/>
                <w:spacing w:val="8"/>
                <w:sz w:val="24"/>
              </w:rPr>
              <w:t>日（</w:t>
            </w:r>
            <w:r>
              <w:rPr>
                <w:rFonts w:ascii="宋体" w:hAnsi="宋体" w:cs="宋体"/>
                <w:b/>
                <w:bCs w:val="0"/>
                <w:spacing w:val="8"/>
                <w:sz w:val="24"/>
              </w:rPr>
              <w:t>15</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四川·成都</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6</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9</w:t>
            </w:r>
            <w:r>
              <w:rPr>
                <w:rFonts w:hint="eastAsia" w:ascii="宋体" w:hAnsi="宋体" w:cs="宋体"/>
                <w:b/>
                <w:bCs w:val="0"/>
                <w:spacing w:val="8"/>
                <w:sz w:val="24"/>
              </w:rPr>
              <w:t>月</w:t>
            </w:r>
            <w:r>
              <w:rPr>
                <w:rFonts w:ascii="宋体" w:hAnsi="宋体" w:cs="宋体"/>
                <w:b/>
                <w:bCs w:val="0"/>
                <w:spacing w:val="8"/>
                <w:sz w:val="24"/>
              </w:rPr>
              <w:t>18-22</w:t>
            </w:r>
            <w:r>
              <w:rPr>
                <w:rFonts w:hint="eastAsia" w:ascii="宋体" w:hAnsi="宋体" w:cs="宋体"/>
                <w:b/>
                <w:bCs w:val="0"/>
                <w:spacing w:val="8"/>
                <w:sz w:val="24"/>
              </w:rPr>
              <w:t>日（</w:t>
            </w:r>
            <w:r>
              <w:rPr>
                <w:rFonts w:ascii="宋体" w:hAnsi="宋体" w:cs="宋体"/>
                <w:b/>
                <w:bCs w:val="0"/>
                <w:spacing w:val="8"/>
                <w:sz w:val="24"/>
              </w:rPr>
              <w:t>18</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陕西·西安</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专题八、十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7</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10</w:t>
            </w:r>
            <w:r>
              <w:rPr>
                <w:rFonts w:hint="eastAsia" w:ascii="宋体" w:hAnsi="宋体" w:cs="宋体"/>
                <w:b/>
                <w:bCs w:val="0"/>
                <w:spacing w:val="8"/>
                <w:sz w:val="24"/>
              </w:rPr>
              <w:t>月</w:t>
            </w:r>
            <w:r>
              <w:rPr>
                <w:rFonts w:ascii="宋体" w:hAnsi="宋体" w:cs="宋体"/>
                <w:b/>
                <w:bCs w:val="0"/>
                <w:spacing w:val="8"/>
                <w:sz w:val="24"/>
              </w:rPr>
              <w:t>14-18</w:t>
            </w:r>
            <w:r>
              <w:rPr>
                <w:rFonts w:hint="eastAsia" w:ascii="宋体" w:hAnsi="宋体" w:cs="宋体"/>
                <w:b/>
                <w:bCs w:val="0"/>
                <w:spacing w:val="8"/>
                <w:sz w:val="24"/>
              </w:rPr>
              <w:t>日（</w:t>
            </w:r>
            <w:r>
              <w:rPr>
                <w:rFonts w:ascii="宋体" w:hAnsi="宋体" w:cs="宋体"/>
                <w:b/>
                <w:bCs w:val="0"/>
                <w:spacing w:val="8"/>
                <w:sz w:val="24"/>
              </w:rPr>
              <w:t>18</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福建·厦门</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8</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10</w:t>
            </w:r>
            <w:r>
              <w:rPr>
                <w:rFonts w:hint="eastAsia" w:ascii="宋体" w:hAnsi="宋体" w:cs="宋体"/>
                <w:b/>
                <w:bCs w:val="0"/>
                <w:spacing w:val="8"/>
                <w:sz w:val="24"/>
              </w:rPr>
              <w:t>月</w:t>
            </w:r>
            <w:r>
              <w:rPr>
                <w:rFonts w:ascii="宋体" w:hAnsi="宋体" w:cs="宋体"/>
                <w:b/>
                <w:bCs w:val="0"/>
                <w:spacing w:val="8"/>
                <w:sz w:val="24"/>
              </w:rPr>
              <w:t>20-24</w:t>
            </w:r>
            <w:r>
              <w:rPr>
                <w:rFonts w:hint="eastAsia" w:ascii="宋体" w:hAnsi="宋体" w:cs="宋体"/>
                <w:b/>
                <w:bCs w:val="0"/>
                <w:spacing w:val="8"/>
                <w:sz w:val="24"/>
              </w:rPr>
              <w:t>日（</w:t>
            </w:r>
            <w:r>
              <w:rPr>
                <w:rFonts w:ascii="宋体" w:hAnsi="宋体" w:cs="宋体"/>
                <w:b/>
                <w:bCs w:val="0"/>
                <w:spacing w:val="8"/>
                <w:sz w:val="24"/>
              </w:rPr>
              <w:t>20</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浙江·杭州</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专题三、十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9</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11</w:t>
            </w:r>
            <w:r>
              <w:rPr>
                <w:rFonts w:hint="eastAsia" w:ascii="宋体" w:hAnsi="宋体" w:cs="宋体"/>
                <w:b/>
                <w:bCs w:val="0"/>
                <w:spacing w:val="8"/>
                <w:sz w:val="24"/>
              </w:rPr>
              <w:t>月</w:t>
            </w:r>
            <w:r>
              <w:rPr>
                <w:rFonts w:ascii="宋体" w:hAnsi="宋体" w:cs="宋体"/>
                <w:b/>
                <w:bCs w:val="0"/>
                <w:spacing w:val="8"/>
                <w:sz w:val="24"/>
              </w:rPr>
              <w:t>10-14</w:t>
            </w:r>
            <w:r>
              <w:rPr>
                <w:rFonts w:hint="eastAsia" w:ascii="宋体" w:hAnsi="宋体" w:cs="宋体"/>
                <w:b/>
                <w:bCs w:val="0"/>
                <w:spacing w:val="8"/>
                <w:sz w:val="24"/>
              </w:rPr>
              <w:t>日（</w:t>
            </w:r>
            <w:r>
              <w:rPr>
                <w:rFonts w:ascii="宋体" w:hAnsi="宋体" w:cs="宋体"/>
                <w:b/>
                <w:bCs w:val="0"/>
                <w:spacing w:val="8"/>
                <w:sz w:val="24"/>
              </w:rPr>
              <w:t>10</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重庆市</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10</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11</w:t>
            </w:r>
            <w:r>
              <w:rPr>
                <w:rFonts w:hint="eastAsia" w:ascii="宋体" w:hAnsi="宋体" w:cs="宋体"/>
                <w:b/>
                <w:bCs w:val="0"/>
                <w:spacing w:val="8"/>
                <w:sz w:val="24"/>
              </w:rPr>
              <w:t>月</w:t>
            </w:r>
            <w:r>
              <w:rPr>
                <w:rFonts w:ascii="宋体" w:hAnsi="宋体" w:cs="宋体"/>
                <w:b/>
                <w:bCs w:val="0"/>
                <w:spacing w:val="8"/>
                <w:sz w:val="24"/>
              </w:rPr>
              <w:t>18-22</w:t>
            </w:r>
            <w:r>
              <w:rPr>
                <w:rFonts w:hint="eastAsia" w:ascii="宋体" w:hAnsi="宋体" w:cs="宋体"/>
                <w:b/>
                <w:bCs w:val="0"/>
                <w:spacing w:val="8"/>
                <w:sz w:val="24"/>
              </w:rPr>
              <w:t>日（</w:t>
            </w:r>
            <w:r>
              <w:rPr>
                <w:rFonts w:ascii="宋体" w:hAnsi="宋体" w:cs="宋体"/>
                <w:b/>
                <w:bCs w:val="0"/>
                <w:spacing w:val="8"/>
                <w:sz w:val="24"/>
              </w:rPr>
              <w:t>18</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广西·南宁</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专题五、十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11</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12</w:t>
            </w:r>
            <w:r>
              <w:rPr>
                <w:rFonts w:hint="eastAsia" w:ascii="宋体" w:hAnsi="宋体" w:cs="宋体"/>
                <w:b/>
                <w:bCs w:val="0"/>
                <w:spacing w:val="8"/>
                <w:sz w:val="24"/>
              </w:rPr>
              <w:t>月</w:t>
            </w:r>
            <w:r>
              <w:rPr>
                <w:rFonts w:ascii="宋体" w:hAnsi="宋体" w:cs="宋体"/>
                <w:b/>
                <w:bCs w:val="0"/>
                <w:spacing w:val="8"/>
                <w:sz w:val="24"/>
              </w:rPr>
              <w:t>4-8</w:t>
            </w:r>
            <w:r>
              <w:rPr>
                <w:rFonts w:hint="eastAsia" w:ascii="宋体" w:hAnsi="宋体" w:cs="宋体"/>
                <w:b/>
                <w:bCs w:val="0"/>
                <w:spacing w:val="8"/>
                <w:sz w:val="24"/>
              </w:rPr>
              <w:t>日（</w:t>
            </w:r>
            <w:r>
              <w:rPr>
                <w:rFonts w:ascii="宋体" w:hAnsi="宋体" w:cs="宋体"/>
                <w:b/>
                <w:bCs w:val="0"/>
                <w:spacing w:val="8"/>
                <w:sz w:val="24"/>
              </w:rPr>
              <w:t>4</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海南·海口</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9"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12</w:t>
            </w:r>
          </w:p>
        </w:tc>
        <w:tc>
          <w:tcPr>
            <w:tcW w:w="3768" w:type="dxa"/>
            <w:vAlign w:val="center"/>
          </w:tcPr>
          <w:p>
            <w:pPr>
              <w:widowControl/>
              <w:spacing w:line="500" w:lineRule="exact"/>
              <w:jc w:val="center"/>
              <w:rPr>
                <w:rFonts w:ascii="宋体" w:cs="宋体"/>
                <w:b/>
                <w:bCs w:val="0"/>
                <w:spacing w:val="8"/>
                <w:sz w:val="24"/>
              </w:rPr>
            </w:pPr>
            <w:r>
              <w:rPr>
                <w:rFonts w:ascii="宋体" w:hAnsi="宋体" w:cs="宋体"/>
                <w:b/>
                <w:bCs w:val="0"/>
                <w:spacing w:val="8"/>
                <w:sz w:val="24"/>
              </w:rPr>
              <w:t>12</w:t>
            </w:r>
            <w:r>
              <w:rPr>
                <w:rFonts w:hint="eastAsia" w:ascii="宋体" w:hAnsi="宋体" w:cs="宋体"/>
                <w:b/>
                <w:bCs w:val="0"/>
                <w:spacing w:val="8"/>
                <w:sz w:val="24"/>
              </w:rPr>
              <w:t>月</w:t>
            </w:r>
            <w:r>
              <w:rPr>
                <w:rFonts w:ascii="宋体" w:hAnsi="宋体" w:cs="宋体"/>
                <w:b/>
                <w:bCs w:val="0"/>
                <w:spacing w:val="8"/>
                <w:sz w:val="24"/>
              </w:rPr>
              <w:t>10-14</w:t>
            </w:r>
            <w:r>
              <w:rPr>
                <w:rFonts w:hint="eastAsia" w:ascii="宋体" w:hAnsi="宋体" w:cs="宋体"/>
                <w:b/>
                <w:bCs w:val="0"/>
                <w:spacing w:val="8"/>
                <w:sz w:val="24"/>
              </w:rPr>
              <w:t>日（</w:t>
            </w:r>
            <w:r>
              <w:rPr>
                <w:rFonts w:ascii="宋体" w:hAnsi="宋体" w:cs="宋体"/>
                <w:b/>
                <w:bCs w:val="0"/>
                <w:spacing w:val="8"/>
                <w:sz w:val="24"/>
              </w:rPr>
              <w:t>10</w:t>
            </w:r>
            <w:r>
              <w:rPr>
                <w:rFonts w:hint="eastAsia" w:ascii="宋体" w:hAnsi="宋体" w:cs="宋体"/>
                <w:b/>
                <w:bCs w:val="0"/>
                <w:spacing w:val="8"/>
                <w:sz w:val="24"/>
              </w:rPr>
              <w:t>日报到）</w:t>
            </w:r>
          </w:p>
        </w:tc>
        <w:tc>
          <w:tcPr>
            <w:tcW w:w="3105"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广东·广州</w:t>
            </w:r>
          </w:p>
        </w:tc>
        <w:tc>
          <w:tcPr>
            <w:tcW w:w="1990" w:type="dxa"/>
            <w:vAlign w:val="center"/>
          </w:tcPr>
          <w:p>
            <w:pPr>
              <w:widowControl/>
              <w:spacing w:line="500" w:lineRule="exact"/>
              <w:jc w:val="center"/>
              <w:rPr>
                <w:rFonts w:ascii="宋体" w:cs="宋体"/>
                <w:b/>
                <w:bCs w:val="0"/>
                <w:spacing w:val="8"/>
                <w:sz w:val="24"/>
              </w:rPr>
            </w:pPr>
            <w:r>
              <w:rPr>
                <w:rFonts w:hint="eastAsia" w:ascii="宋体" w:hAnsi="宋体" w:cs="宋体"/>
                <w:b/>
                <w:bCs w:val="0"/>
                <w:spacing w:val="8"/>
                <w:sz w:val="24"/>
              </w:rPr>
              <w:t>专题八、十</w:t>
            </w:r>
          </w:p>
        </w:tc>
      </w:tr>
    </w:tbl>
    <w:p>
      <w:pPr>
        <w:widowControl/>
        <w:numPr>
          <w:ilvl w:val="0"/>
          <w:numId w:val="2"/>
        </w:numPr>
        <w:spacing w:line="460" w:lineRule="exact"/>
        <w:jc w:val="left"/>
        <w:rPr>
          <w:rFonts w:ascii="宋体" w:cs="宋体"/>
          <w:b/>
          <w:bCs/>
          <w:sz w:val="28"/>
          <w:szCs w:val="28"/>
        </w:rPr>
      </w:pPr>
      <w:r>
        <w:rPr>
          <w:rFonts w:hint="eastAsia" w:ascii="宋体" w:hAnsi="宋体" w:cs="宋体"/>
          <w:b/>
          <w:bCs/>
          <w:sz w:val="28"/>
          <w:szCs w:val="28"/>
        </w:rPr>
        <w:t>培训专题安排</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专题一：成本分析与管理决策</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专题二：财务报表分析与会计准则最新变化及所得税汇算清缴</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专题三：企业预算控制与绩效评价</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专题四：企业内部控制与资产管理</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专题五：大数据应用与财务转型</w:t>
      </w:r>
    </w:p>
    <w:p>
      <w:pPr>
        <w:widowControl/>
        <w:spacing w:line="460" w:lineRule="exact"/>
        <w:ind w:left="1184" w:hanging="1184" w:hangingChars="400"/>
        <w:jc w:val="left"/>
        <w:rPr>
          <w:rFonts w:hint="eastAsia" w:ascii="宋体" w:eastAsia="宋体" w:cs="宋体"/>
          <w:bCs/>
          <w:color w:val="000000"/>
          <w:spacing w:val="8"/>
          <w:kern w:val="1"/>
          <w:sz w:val="28"/>
          <w:szCs w:val="28"/>
          <w:lang w:eastAsia="zh-CN"/>
        </w:rPr>
      </w:pPr>
      <w:r>
        <w:rPr>
          <w:rFonts w:hint="eastAsia" w:ascii="宋体" w:hAnsi="宋体" w:cs="宋体"/>
          <w:bCs/>
          <w:color w:val="000000"/>
          <w:spacing w:val="8"/>
          <w:kern w:val="1"/>
          <w:sz w:val="28"/>
          <w:szCs w:val="28"/>
        </w:rPr>
        <w:t>专题六：集团财务共享服务中心建设与运营实战技能提升</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专题七：公司并购与重组</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专题八：数字化时代的业财融合实务与案例分析</w:t>
      </w:r>
    </w:p>
    <w:p>
      <w:pPr>
        <w:widowControl/>
        <w:spacing w:line="460" w:lineRule="exact"/>
        <w:ind w:left="1184" w:hanging="1184" w:hangingChars="400"/>
        <w:jc w:val="left"/>
        <w:rPr>
          <w:rFonts w:ascii="宋体" w:cs="宋体"/>
          <w:bCs/>
          <w:color w:val="000000"/>
          <w:spacing w:val="8"/>
          <w:kern w:val="1"/>
          <w:sz w:val="28"/>
          <w:szCs w:val="28"/>
        </w:rPr>
      </w:pPr>
      <w:r>
        <w:rPr>
          <w:rFonts w:hint="eastAsia" w:ascii="宋体" w:hAnsi="宋体" w:cs="宋体"/>
          <w:bCs/>
          <w:color w:val="000000"/>
          <w:spacing w:val="8"/>
          <w:kern w:val="1"/>
          <w:sz w:val="28"/>
          <w:szCs w:val="28"/>
        </w:rPr>
        <w:t>专题九；财务共享中心的建设与实践</w:t>
      </w:r>
    </w:p>
    <w:p>
      <w:pPr>
        <w:pStyle w:val="11"/>
        <w:spacing w:before="0" w:beforeAutospacing="0" w:after="0" w:afterAutospacing="0" w:line="460" w:lineRule="exact"/>
        <w:jc w:val="both"/>
        <w:rPr>
          <w:bCs/>
          <w:color w:val="000000"/>
          <w:spacing w:val="8"/>
          <w:kern w:val="1"/>
          <w:sz w:val="28"/>
          <w:szCs w:val="28"/>
        </w:rPr>
      </w:pPr>
      <w:r>
        <w:rPr>
          <w:rFonts w:hint="eastAsia"/>
          <w:bCs/>
          <w:color w:val="000000"/>
          <w:spacing w:val="8"/>
          <w:kern w:val="1"/>
          <w:sz w:val="28"/>
          <w:szCs w:val="28"/>
        </w:rPr>
        <w:t>专题十：财务人员法律素质提升与《民法典》权威解读</w:t>
      </w:r>
    </w:p>
    <w:p>
      <w:pPr>
        <w:widowControl/>
        <w:numPr>
          <w:ilvl w:val="0"/>
          <w:numId w:val="2"/>
        </w:numPr>
        <w:spacing w:line="400" w:lineRule="exact"/>
        <w:jc w:val="left"/>
        <w:rPr>
          <w:rFonts w:ascii="宋体" w:cs="宋体"/>
          <w:b/>
          <w:bCs/>
          <w:sz w:val="28"/>
          <w:szCs w:val="28"/>
        </w:rPr>
      </w:pPr>
      <w:r>
        <w:rPr>
          <w:rFonts w:hint="eastAsia" w:ascii="宋体" w:hAnsi="宋体" w:cs="宋体"/>
          <w:b/>
          <w:bCs/>
          <w:sz w:val="28"/>
          <w:szCs w:val="28"/>
        </w:rPr>
        <w:t>培训对象</w:t>
      </w:r>
    </w:p>
    <w:p>
      <w:pPr>
        <w:widowControl/>
        <w:spacing w:line="400" w:lineRule="exact"/>
        <w:ind w:firstLine="560" w:firstLineChars="200"/>
        <w:jc w:val="left"/>
        <w:rPr>
          <w:rFonts w:ascii="宋体" w:cs="宋体"/>
          <w:bCs/>
          <w:kern w:val="1"/>
          <w:sz w:val="28"/>
          <w:szCs w:val="28"/>
        </w:rPr>
      </w:pPr>
      <w:r>
        <w:rPr>
          <w:rFonts w:hint="eastAsia" w:ascii="宋体" w:hAnsi="宋体" w:cs="宋体"/>
          <w:bCs/>
          <w:kern w:val="1"/>
          <w:sz w:val="28"/>
          <w:szCs w:val="28"/>
        </w:rPr>
        <w:t>企业高级管理人员、财务总监、财务经理、财务主管等财务管理人员、会计人员、审计人员等；地方政府相关部门及新城、新区管委会相关部门、市政公用企业等。</w:t>
      </w:r>
    </w:p>
    <w:p>
      <w:pPr>
        <w:widowControl/>
        <w:numPr>
          <w:ilvl w:val="0"/>
          <w:numId w:val="2"/>
        </w:numPr>
        <w:spacing w:line="400" w:lineRule="exact"/>
        <w:jc w:val="left"/>
        <w:rPr>
          <w:rFonts w:ascii="宋体" w:cs="宋体"/>
          <w:b/>
          <w:bCs/>
          <w:sz w:val="28"/>
          <w:szCs w:val="28"/>
        </w:rPr>
      </w:pPr>
      <w:r>
        <w:rPr>
          <w:rFonts w:hint="eastAsia" w:ascii="宋体" w:hAnsi="宋体" w:cs="宋体"/>
          <w:b/>
          <w:bCs/>
          <w:sz w:val="28"/>
          <w:szCs w:val="28"/>
        </w:rPr>
        <w:t>授课师资团队</w:t>
      </w:r>
    </w:p>
    <w:p>
      <w:pPr>
        <w:widowControl/>
        <w:spacing w:line="400" w:lineRule="exact"/>
        <w:ind w:firstLine="560" w:firstLineChars="200"/>
        <w:jc w:val="left"/>
        <w:rPr>
          <w:rFonts w:ascii="宋体" w:cs="宋体"/>
          <w:bCs/>
          <w:kern w:val="1"/>
          <w:sz w:val="28"/>
          <w:szCs w:val="28"/>
        </w:rPr>
      </w:pPr>
      <w:r>
        <w:rPr>
          <w:rFonts w:hint="eastAsia" w:ascii="宋体" w:hAnsi="宋体" w:cs="宋体"/>
          <w:bCs/>
          <w:kern w:val="1"/>
          <w:sz w:val="28"/>
          <w:szCs w:val="28"/>
        </w:rPr>
        <w:t>所有课程由来自国家会计学院、高校、政府部门以及实务界的专业师资团队授课。</w:t>
      </w:r>
    </w:p>
    <w:p>
      <w:pPr>
        <w:widowControl/>
        <w:numPr>
          <w:ilvl w:val="0"/>
          <w:numId w:val="2"/>
        </w:numPr>
        <w:spacing w:line="400" w:lineRule="exact"/>
        <w:jc w:val="left"/>
        <w:rPr>
          <w:rFonts w:ascii="宋体" w:cs="宋体"/>
          <w:b/>
          <w:bCs/>
          <w:sz w:val="28"/>
          <w:szCs w:val="28"/>
        </w:rPr>
      </w:pPr>
      <w:r>
        <w:rPr>
          <w:rFonts w:hint="eastAsia" w:ascii="宋体" w:hAnsi="宋体" w:cs="宋体"/>
          <w:b/>
          <w:bCs/>
          <w:sz w:val="28"/>
          <w:szCs w:val="28"/>
        </w:rPr>
        <w:t>收费标准</w:t>
      </w:r>
    </w:p>
    <w:p>
      <w:pPr>
        <w:widowControl/>
        <w:numPr>
          <w:ilvl w:val="0"/>
          <w:numId w:val="3"/>
        </w:numPr>
        <w:spacing w:line="400" w:lineRule="exact"/>
        <w:ind w:firstLine="562" w:firstLineChars="200"/>
        <w:jc w:val="left"/>
        <w:rPr>
          <w:rFonts w:ascii="宋体" w:cs="宋体"/>
          <w:b/>
          <w:bCs/>
          <w:color w:val="000000"/>
          <w:sz w:val="28"/>
          <w:szCs w:val="28"/>
          <w:shd w:val="clear" w:color="auto" w:fill="FFFFFF"/>
        </w:rPr>
      </w:pPr>
      <w:r>
        <w:rPr>
          <w:rFonts w:hint="eastAsia" w:ascii="宋体" w:hAnsi="宋体" w:cs="宋体"/>
          <w:b/>
          <w:bCs/>
          <w:color w:val="000000"/>
          <w:sz w:val="28"/>
          <w:szCs w:val="28"/>
          <w:shd w:val="clear" w:color="auto" w:fill="FFFFFF"/>
        </w:rPr>
        <w:t>培训费：</w:t>
      </w:r>
      <w:r>
        <w:rPr>
          <w:rFonts w:ascii="宋体" w:hAnsi="宋体" w:cs="宋体"/>
          <w:b/>
          <w:bCs/>
          <w:color w:val="000000"/>
          <w:sz w:val="28"/>
          <w:szCs w:val="28"/>
          <w:shd w:val="clear" w:color="auto" w:fill="FFFFFF"/>
        </w:rPr>
        <w:t>2900</w:t>
      </w:r>
      <w:r>
        <w:rPr>
          <w:rFonts w:hint="eastAsia" w:ascii="宋体" w:hAnsi="宋体" w:cs="宋体"/>
          <w:b/>
          <w:bCs/>
          <w:color w:val="000000"/>
          <w:sz w:val="28"/>
          <w:szCs w:val="28"/>
          <w:shd w:val="clear" w:color="auto" w:fill="FFFFFF"/>
        </w:rPr>
        <w:t>元</w:t>
      </w:r>
      <w:r>
        <w:rPr>
          <w:rFonts w:ascii="宋体" w:hAnsi="宋体" w:cs="宋体"/>
          <w:b/>
          <w:bCs/>
          <w:color w:val="000000"/>
          <w:sz w:val="28"/>
          <w:szCs w:val="28"/>
          <w:shd w:val="clear" w:color="auto" w:fill="FFFFFF"/>
        </w:rPr>
        <w:t>/</w:t>
      </w:r>
      <w:r>
        <w:rPr>
          <w:rFonts w:hint="eastAsia" w:ascii="宋体" w:hAnsi="宋体" w:cs="宋体"/>
          <w:b/>
          <w:bCs/>
          <w:color w:val="000000"/>
          <w:sz w:val="28"/>
          <w:szCs w:val="28"/>
          <w:shd w:val="clear" w:color="auto" w:fill="FFFFFF"/>
        </w:rPr>
        <w:t>人</w:t>
      </w:r>
    </w:p>
    <w:p>
      <w:pPr>
        <w:widowControl/>
        <w:spacing w:line="400" w:lineRule="exact"/>
        <w:ind w:firstLine="560" w:firstLineChars="200"/>
        <w:jc w:val="left"/>
        <w:rPr>
          <w:rFonts w:hint="default" w:ascii="宋体" w:eastAsia="宋体" w:cs="宋体"/>
          <w:color w:val="000000"/>
          <w:sz w:val="28"/>
          <w:szCs w:val="28"/>
          <w:shd w:val="clear" w:color="auto" w:fill="FFFFFF"/>
          <w:lang w:val="en-US" w:eastAsia="zh-CN"/>
        </w:rPr>
      </w:pPr>
      <w:r>
        <w:rPr>
          <w:rFonts w:ascii="宋体" w:hAnsi="宋体" w:cs="宋体"/>
          <w:color w:val="000000"/>
          <w:sz w:val="28"/>
          <w:szCs w:val="28"/>
          <w:shd w:val="clear" w:color="auto" w:fill="FFFFFF"/>
        </w:rPr>
        <w:t>2</w:t>
      </w:r>
      <w:r>
        <w:rPr>
          <w:rFonts w:hint="eastAsia" w:ascii="宋体" w:hAnsi="宋体" w:cs="宋体"/>
          <w:color w:val="000000"/>
          <w:sz w:val="28"/>
          <w:szCs w:val="28"/>
          <w:shd w:val="clear" w:color="auto" w:fill="FFFFFF"/>
        </w:rPr>
        <w:t>、食宿统一安排，费用自理；</w:t>
      </w:r>
      <w:r>
        <w:rPr>
          <w:rFonts w:hint="eastAsia" w:ascii="宋体" w:hAnsi="宋体" w:cs="宋体"/>
          <w:color w:val="000000"/>
          <w:sz w:val="28"/>
          <w:szCs w:val="28"/>
          <w:shd w:val="clear" w:color="auto" w:fill="FFFFFF"/>
          <w:lang w:val="en-US" w:eastAsia="zh-CN"/>
        </w:rPr>
        <w:t xml:space="preserve">       </w:t>
      </w:r>
    </w:p>
    <w:p>
      <w:pPr>
        <w:widowControl/>
        <w:spacing w:line="400" w:lineRule="exact"/>
        <w:ind w:firstLine="560" w:firstLineChars="200"/>
        <w:jc w:val="left"/>
        <w:rPr>
          <w:rFonts w:ascii="宋体" w:cs="宋体"/>
          <w:bCs/>
          <w:sz w:val="28"/>
          <w:szCs w:val="28"/>
        </w:rPr>
      </w:pPr>
      <w:r>
        <w:rPr>
          <w:rFonts w:ascii="宋体" w:hAnsi="宋体" w:cs="宋体"/>
          <w:color w:val="000000"/>
          <w:sz w:val="28"/>
          <w:szCs w:val="28"/>
          <w:shd w:val="clear" w:color="auto" w:fill="FFFFFF"/>
        </w:rPr>
        <w:t>3</w:t>
      </w:r>
      <w:r>
        <w:rPr>
          <w:rFonts w:hint="eastAsia" w:ascii="宋体" w:hAnsi="宋体" w:cs="宋体"/>
          <w:color w:val="000000"/>
          <w:sz w:val="28"/>
          <w:szCs w:val="28"/>
          <w:shd w:val="clear" w:color="auto" w:fill="FFFFFF"/>
        </w:rPr>
        <w:t>、往返交通费用自理</w:t>
      </w:r>
      <w:r>
        <w:rPr>
          <w:rFonts w:hint="eastAsia" w:ascii="宋体" w:hAnsi="宋体" w:cs="宋体"/>
          <w:bCs/>
          <w:sz w:val="28"/>
          <w:szCs w:val="28"/>
        </w:rPr>
        <w:t>。</w:t>
      </w:r>
    </w:p>
    <w:p>
      <w:pPr>
        <w:widowControl/>
        <w:numPr>
          <w:ilvl w:val="0"/>
          <w:numId w:val="2"/>
        </w:numPr>
        <w:spacing w:line="400" w:lineRule="exact"/>
        <w:jc w:val="left"/>
        <w:rPr>
          <w:rFonts w:ascii="宋体" w:cs="宋体"/>
          <w:b/>
          <w:bCs/>
          <w:sz w:val="28"/>
          <w:szCs w:val="28"/>
        </w:rPr>
      </w:pPr>
      <w:r>
        <w:rPr>
          <w:rFonts w:hint="eastAsia" w:ascii="宋体" w:hAnsi="宋体" w:cs="宋体"/>
          <w:b/>
          <w:bCs/>
          <w:sz w:val="28"/>
          <w:szCs w:val="28"/>
        </w:rPr>
        <w:t>结业证书</w:t>
      </w:r>
      <w:r>
        <w:rPr>
          <w:rFonts w:ascii="宋体" w:hAnsi="宋体" w:cs="宋体"/>
          <w:b/>
          <w:bCs/>
          <w:sz w:val="28"/>
          <w:szCs w:val="28"/>
        </w:rPr>
        <w:t xml:space="preserve"> </w:t>
      </w:r>
    </w:p>
    <w:p>
      <w:pPr>
        <w:widowControl/>
        <w:spacing w:line="400" w:lineRule="exact"/>
        <w:ind w:firstLine="560" w:firstLineChars="200"/>
        <w:jc w:val="left"/>
        <w:rPr>
          <w:rFonts w:ascii="宋体" w:cs="宋体"/>
          <w:bCs/>
          <w:kern w:val="1"/>
          <w:sz w:val="28"/>
          <w:szCs w:val="28"/>
        </w:rPr>
      </w:pPr>
      <w:r>
        <w:rPr>
          <w:rFonts w:hint="eastAsia" w:ascii="宋体" w:hAnsi="宋体" w:cs="宋体"/>
          <w:color w:val="000000"/>
          <w:sz w:val="28"/>
          <w:szCs w:val="28"/>
          <w:shd w:val="clear" w:color="auto" w:fill="FFFFFF"/>
        </w:rPr>
        <w:t>培训学习期满后，统一颁发中国总会计师协会《培训结业证书》。</w:t>
      </w:r>
    </w:p>
    <w:p>
      <w:pPr>
        <w:widowControl/>
        <w:numPr>
          <w:ilvl w:val="0"/>
          <w:numId w:val="2"/>
        </w:numPr>
        <w:spacing w:line="400" w:lineRule="exact"/>
        <w:jc w:val="left"/>
        <w:rPr>
          <w:rFonts w:ascii="宋体" w:cs="宋体"/>
          <w:b/>
          <w:bCs/>
          <w:sz w:val="28"/>
          <w:szCs w:val="28"/>
        </w:rPr>
      </w:pPr>
      <w:r>
        <w:rPr>
          <w:rFonts w:hint="eastAsia" w:ascii="宋体" w:hAnsi="宋体" w:cs="宋体"/>
          <w:b/>
          <w:bCs/>
          <w:sz w:val="28"/>
          <w:szCs w:val="28"/>
        </w:rPr>
        <w:t>报名程序</w:t>
      </w:r>
    </w:p>
    <w:p>
      <w:pPr>
        <w:widowControl/>
        <w:spacing w:line="400" w:lineRule="exact"/>
        <w:ind w:firstLine="280" w:firstLineChars="100"/>
        <w:jc w:val="left"/>
        <w:rPr>
          <w:rFonts w:hint="eastAsia" w:asci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请报名人员按要求填写《报名回执表》（见附件</w:t>
      </w:r>
      <w:r>
        <w:rPr>
          <w:rFonts w:ascii="宋体" w:hAnsi="宋体" w:cs="宋体"/>
          <w:color w:val="000000"/>
          <w:sz w:val="28"/>
          <w:szCs w:val="28"/>
          <w:shd w:val="clear" w:color="auto" w:fill="FFFFFF"/>
        </w:rPr>
        <w:t>3</w:t>
      </w:r>
      <w:r>
        <w:rPr>
          <w:rFonts w:hint="eastAsia" w:ascii="宋体" w:hAnsi="宋体" w:cs="宋体"/>
          <w:color w:val="000000"/>
          <w:sz w:val="28"/>
          <w:szCs w:val="28"/>
          <w:shd w:val="clear" w:color="auto" w:fill="FFFFFF"/>
        </w:rPr>
        <w:t>），报中国总会计师协会培训部或班务组；我们将按报名先后发放《报到通知》。</w:t>
      </w:r>
    </w:p>
    <w:p>
      <w:pPr>
        <w:widowControl/>
        <w:spacing w:line="400" w:lineRule="exact"/>
        <w:jc w:val="left"/>
        <w:rPr>
          <w:rFonts w:ascii="宋体" w:cs="宋体"/>
          <w:bCs/>
          <w:kern w:val="1"/>
          <w:sz w:val="28"/>
          <w:szCs w:val="28"/>
        </w:rPr>
      </w:pPr>
      <w:r>
        <w:rPr>
          <w:rFonts w:hint="eastAsia" w:ascii="宋体" w:hAnsi="宋体" w:cs="宋体"/>
          <w:bCs/>
          <w:kern w:val="1"/>
          <w:sz w:val="28"/>
          <w:szCs w:val="28"/>
          <w:lang w:eastAsia="zh-CN"/>
        </w:rPr>
        <w:t>附件</w:t>
      </w:r>
      <w:r>
        <w:rPr>
          <w:rFonts w:ascii="宋体" w:hAnsi="宋体" w:cs="宋体"/>
          <w:bCs/>
          <w:kern w:val="1"/>
          <w:sz w:val="28"/>
          <w:szCs w:val="28"/>
        </w:rPr>
        <w:t>2</w:t>
      </w:r>
      <w:r>
        <w:rPr>
          <w:rFonts w:hint="eastAsia" w:ascii="宋体" w:hAnsi="宋体" w:cs="宋体"/>
          <w:bCs/>
          <w:kern w:val="1"/>
          <w:sz w:val="28"/>
          <w:szCs w:val="28"/>
        </w:rPr>
        <w:t>：</w:t>
      </w:r>
    </w:p>
    <w:p>
      <w:pPr>
        <w:snapToGrid w:val="0"/>
        <w:spacing w:line="400" w:lineRule="exact"/>
        <w:ind w:right="-514"/>
        <w:jc w:val="center"/>
        <w:rPr>
          <w:rFonts w:ascii="宋体" w:cs="宋体"/>
          <w:b/>
          <w:color w:val="000000"/>
          <w:kern w:val="0"/>
          <w:sz w:val="32"/>
          <w:szCs w:val="32"/>
        </w:rPr>
      </w:pPr>
      <w:r>
        <w:rPr>
          <w:rFonts w:hint="eastAsia" w:ascii="宋体" w:hAnsi="宋体" w:cs="宋体"/>
          <w:b/>
          <w:color w:val="000000"/>
          <w:kern w:val="0"/>
          <w:sz w:val="32"/>
          <w:szCs w:val="32"/>
        </w:rPr>
        <w:t>新时代财务管理人员实务操作与素质提升系列培训班专题介绍</w:t>
      </w:r>
    </w:p>
    <w:p>
      <w:pPr>
        <w:widowControl/>
        <w:spacing w:line="400" w:lineRule="exact"/>
        <w:jc w:val="left"/>
        <w:rPr>
          <w:rFonts w:ascii="宋体" w:cs="宋体"/>
          <w:b/>
          <w:sz w:val="28"/>
          <w:szCs w:val="28"/>
        </w:rPr>
      </w:pPr>
      <w:r>
        <w:rPr>
          <w:rFonts w:hint="eastAsia" w:ascii="宋体" w:hAnsi="宋体" w:cs="宋体"/>
          <w:b/>
          <w:sz w:val="28"/>
          <w:szCs w:val="28"/>
        </w:rPr>
        <w:t>专题一：成本分析与管理决策</w:t>
      </w:r>
    </w:p>
    <w:p>
      <w:pPr>
        <w:widowControl/>
        <w:numPr>
          <w:ilvl w:val="0"/>
          <w:numId w:val="4"/>
        </w:numPr>
        <w:spacing w:line="400" w:lineRule="exact"/>
        <w:ind w:firstLine="281" w:firstLineChars="100"/>
        <w:jc w:val="left"/>
        <w:rPr>
          <w:rFonts w:ascii="宋体" w:cs="宋体"/>
          <w:b/>
          <w:sz w:val="28"/>
          <w:szCs w:val="28"/>
        </w:rPr>
      </w:pPr>
      <w:r>
        <w:rPr>
          <w:rFonts w:hint="eastAsia" w:ascii="宋体" w:hAnsi="宋体" w:cs="宋体"/>
          <w:b/>
          <w:sz w:val="28"/>
          <w:szCs w:val="28"/>
        </w:rPr>
        <w:t>专题介绍：</w:t>
      </w:r>
    </w:p>
    <w:p>
      <w:pPr>
        <w:widowControl/>
        <w:spacing w:line="400" w:lineRule="exact"/>
        <w:ind w:firstLine="560" w:firstLineChars="200"/>
        <w:jc w:val="left"/>
        <w:rPr>
          <w:rFonts w:ascii="宋体" w:cs="宋体"/>
          <w:bCs/>
          <w:kern w:val="1"/>
          <w:sz w:val="28"/>
          <w:szCs w:val="28"/>
        </w:rPr>
      </w:pPr>
      <w:r>
        <w:rPr>
          <w:rFonts w:hint="eastAsia" w:ascii="宋体" w:hAnsi="宋体" w:cs="宋体"/>
          <w:bCs/>
          <w:kern w:val="1"/>
          <w:sz w:val="28"/>
          <w:szCs w:val="28"/>
        </w:rPr>
        <w:t>企业要适应瞬息万变的外部市场环境，取得持续性的竞争优势，企业就必须把重点放到制订竞争战略上来，而传统的成本管理却经常把眼光局限在单纯降低成本上。传统的成本会计不能如实反馈真实情况，会导致决策错误。因为传统成本会计的衡量标准不正确，就会导致决策不正确，进而导致公司的行动不正确，最终导致公司赔钱。制约理论的创始人高德拉特博士曾提到：“告诉我你如何考核我，我就告诉你我将如何行动。如果你的考核不理性的话，那么我的行为很疯狂也没有什么好奇怪的。从常识出发，本课程引入了以产出为导向的制约理论和有效产出会计（</w:t>
      </w:r>
      <w:r>
        <w:rPr>
          <w:rFonts w:ascii="宋体" w:hAnsi="宋体" w:cs="宋体"/>
          <w:bCs/>
          <w:kern w:val="1"/>
          <w:sz w:val="28"/>
          <w:szCs w:val="28"/>
        </w:rPr>
        <w:t>TOC/TA</w:t>
      </w:r>
      <w:r>
        <w:rPr>
          <w:rFonts w:hint="eastAsia" w:ascii="宋体" w:hAnsi="宋体" w:cs="宋体"/>
          <w:bCs/>
          <w:kern w:val="1"/>
          <w:sz w:val="28"/>
          <w:szCs w:val="28"/>
        </w:rPr>
        <w:t>），将有助于学员站在更高的立足点上于把握现代管理会计思想内核，启迪管理决策的新思路。</w:t>
      </w:r>
    </w:p>
    <w:p>
      <w:pPr>
        <w:widowControl/>
        <w:spacing w:line="400" w:lineRule="exact"/>
        <w:ind w:firstLine="281" w:firstLineChars="100"/>
        <w:jc w:val="left"/>
        <w:rPr>
          <w:rFonts w:ascii="宋体" w:cs="宋体"/>
          <w:b/>
          <w:kern w:val="1"/>
          <w:sz w:val="28"/>
          <w:szCs w:val="28"/>
        </w:rPr>
      </w:pPr>
      <w:r>
        <w:rPr>
          <w:rFonts w:hint="eastAsia" w:ascii="宋体" w:hAnsi="宋体" w:cs="宋体"/>
          <w:b/>
          <w:sz w:val="28"/>
          <w:szCs w:val="28"/>
        </w:rPr>
        <w:t>（二）课程内容：</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战略成本管理概况及案例应用</w:t>
      </w:r>
      <w:r>
        <w:rPr>
          <w:rFonts w:ascii="宋体" w:hAnsi="宋体" w:cs="宋体"/>
          <w:bCs/>
          <w:kern w:val="1"/>
          <w:sz w:val="28"/>
          <w:szCs w:val="28"/>
        </w:rPr>
        <w:t xml:space="preserve"> </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业财融合思维下的管理会计架构设计</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管理会计体系的构成</w:t>
      </w:r>
      <w:r>
        <w:rPr>
          <w:rFonts w:ascii="宋体" w:hAnsi="宋体" w:cs="宋体"/>
          <w:bCs/>
          <w:kern w:val="1"/>
          <w:sz w:val="28"/>
          <w:szCs w:val="28"/>
        </w:rPr>
        <w:t xml:space="preserve"> </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供应链成本管理</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约束理论与有效产出会计</w:t>
      </w:r>
    </w:p>
    <w:p>
      <w:pPr>
        <w:widowControl/>
        <w:spacing w:line="380" w:lineRule="exact"/>
        <w:jc w:val="left"/>
        <w:rPr>
          <w:rFonts w:ascii="宋体" w:cs="宋体"/>
          <w:b/>
          <w:sz w:val="28"/>
          <w:szCs w:val="28"/>
        </w:rPr>
      </w:pPr>
      <w:r>
        <w:rPr>
          <w:rFonts w:hint="eastAsia" w:ascii="宋体" w:hAnsi="宋体" w:cs="宋体"/>
          <w:b/>
          <w:sz w:val="28"/>
          <w:szCs w:val="28"/>
        </w:rPr>
        <w:t>专题二：财务报表分析与会计准则最新变化及所得税汇算清缴</w:t>
      </w:r>
    </w:p>
    <w:p>
      <w:pPr>
        <w:widowControl/>
        <w:spacing w:line="380" w:lineRule="exact"/>
        <w:ind w:firstLine="281" w:firstLineChars="100"/>
        <w:jc w:val="left"/>
        <w:rPr>
          <w:rFonts w:ascii="宋体" w:cs="宋体"/>
          <w:bCs/>
          <w:sz w:val="28"/>
          <w:szCs w:val="28"/>
        </w:rPr>
      </w:pPr>
      <w:r>
        <w:rPr>
          <w:rFonts w:hint="eastAsia" w:ascii="宋体" w:hAnsi="宋体" w:cs="宋体"/>
          <w:b/>
          <w:sz w:val="28"/>
          <w:szCs w:val="28"/>
        </w:rPr>
        <w:t>（一）专题介绍：</w:t>
      </w:r>
    </w:p>
    <w:p>
      <w:pPr>
        <w:widowControl/>
        <w:spacing w:line="380" w:lineRule="exact"/>
        <w:ind w:firstLine="560" w:firstLineChars="200"/>
        <w:jc w:val="left"/>
        <w:rPr>
          <w:rFonts w:ascii="宋体" w:cs="宋体"/>
          <w:bCs/>
          <w:sz w:val="28"/>
          <w:szCs w:val="28"/>
        </w:rPr>
      </w:pPr>
      <w:r>
        <w:rPr>
          <w:rFonts w:hint="eastAsia" w:ascii="宋体" w:hAnsi="宋体" w:cs="宋体"/>
          <w:bCs/>
          <w:sz w:val="28"/>
          <w:szCs w:val="28"/>
        </w:rPr>
        <w:t>随着我国企业会计准则与国际财务报告准则的持续趋同，企业会计准则和财务报表格式都发生了重大变化。</w:t>
      </w:r>
      <w:r>
        <w:rPr>
          <w:rFonts w:ascii="宋体" w:hAnsi="宋体" w:cs="宋体"/>
          <w:bCs/>
          <w:sz w:val="28"/>
          <w:szCs w:val="28"/>
        </w:rPr>
        <w:t>2017-2019</w:t>
      </w:r>
      <w:r>
        <w:rPr>
          <w:rFonts w:hint="eastAsia" w:ascii="宋体" w:hAnsi="宋体" w:cs="宋体"/>
          <w:bCs/>
          <w:sz w:val="28"/>
          <w:szCs w:val="28"/>
        </w:rPr>
        <w:t>年财政部发布了新修订的收入准则、金融工具系列准则、政府补助准则、持有待售的非流动资产、处置组和终止经营准则的应用指南，为这些新修订的准则如何实务操作提供了明确的指引，将新修订和新发布的企业会计准则的应用指南和案例进行详细解读，并结合具体实施情况分析新准则的实施影响和实务操作，帮助财务人员深入理解企业会计准则的新变化，从而更好地做出会计处理和职业判断。</w:t>
      </w:r>
    </w:p>
    <w:p>
      <w:pPr>
        <w:widowControl/>
        <w:spacing w:line="380" w:lineRule="exact"/>
        <w:ind w:firstLine="560" w:firstLineChars="200"/>
        <w:jc w:val="left"/>
        <w:rPr>
          <w:rFonts w:ascii="宋体" w:cs="宋体"/>
          <w:bCs/>
          <w:sz w:val="28"/>
          <w:szCs w:val="28"/>
        </w:rPr>
      </w:pPr>
      <w:r>
        <w:rPr>
          <w:rFonts w:hint="eastAsia" w:ascii="宋体" w:hAnsi="宋体" w:cs="宋体"/>
          <w:bCs/>
          <w:sz w:val="28"/>
          <w:szCs w:val="28"/>
        </w:rPr>
        <w:t>汇算清缴是指纳税人在纳税年度终了后规定时期内，依照税收法律、法规、规章及其他有关企业所得税的规定，自行计算全年应纳税所得额和应纳所得税额，根据月度或季度预缴的所得税数额，确定该年度应补或者应退税额，并填写年度企业所得税纳税申报表，向主管税务机关办理年度企业所得税纳税申报、提供税务机关要求提供的有关资料、结清全年企业所得税税款的行为。</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报表分析是财务人员必做功课，除了递交给管理层和总部的年度财务报告，还要看不少供应商或经销商的财务报表，分析年度经营情况。但是，做报表分析常常突破不了就数字论数字的局限性，怎样从报表中看出更多的信息和内涵，从中解读企业经营中的问题？本专题就将为财务解读财务报表分析与会计准则的基本思路和分析。</w:t>
      </w:r>
    </w:p>
    <w:p>
      <w:pPr>
        <w:widowControl/>
        <w:spacing w:line="40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资产负债表分析</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利润表分析</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现金流量表分析</w:t>
      </w:r>
      <w:r>
        <w:rPr>
          <w:rFonts w:ascii="宋体" w:hAnsi="宋体" w:cs="宋体"/>
          <w:bCs/>
          <w:kern w:val="1"/>
          <w:sz w:val="28"/>
          <w:szCs w:val="28"/>
        </w:rPr>
        <w:t xml:space="preserve">                            </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财务报告撰写</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最新会计准则政策解读与案例分析</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最新会计准则改革与财务工作的启发</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税务检查应对及争议解决策略</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企业所得税汇算清缴新政策解读</w:t>
      </w:r>
    </w:p>
    <w:p>
      <w:pPr>
        <w:widowControl/>
        <w:spacing w:line="400" w:lineRule="exact"/>
        <w:jc w:val="left"/>
        <w:rPr>
          <w:rFonts w:ascii="宋体" w:cs="宋体"/>
          <w:b/>
          <w:sz w:val="28"/>
          <w:szCs w:val="28"/>
        </w:rPr>
      </w:pPr>
      <w:r>
        <w:rPr>
          <w:rFonts w:hint="eastAsia" w:ascii="宋体" w:hAnsi="宋体" w:cs="宋体"/>
          <w:b/>
          <w:sz w:val="28"/>
          <w:szCs w:val="28"/>
        </w:rPr>
        <w:t>专题三：企业预算控制与绩效评价</w:t>
      </w:r>
    </w:p>
    <w:p>
      <w:pPr>
        <w:widowControl/>
        <w:spacing w:line="400" w:lineRule="exact"/>
        <w:ind w:firstLine="281" w:firstLineChars="100"/>
        <w:jc w:val="left"/>
        <w:rPr>
          <w:rFonts w:ascii="宋体" w:cs="宋体"/>
          <w:b/>
          <w:sz w:val="28"/>
          <w:szCs w:val="28"/>
        </w:rPr>
      </w:pPr>
      <w:r>
        <w:rPr>
          <w:rFonts w:hint="eastAsia" w:ascii="宋体" w:hAnsi="宋体" w:cs="宋体"/>
          <w:b/>
          <w:sz w:val="28"/>
          <w:szCs w:val="28"/>
        </w:rPr>
        <w:t>（一）专题介绍</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财务部门总说预算管控难，制作难，协调难，落实难，全面预算管理真这么难吗？</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业务部门不愿参与预算，又抱怨财务不懂业务，只会卡费用，难道预算就是用来讨价还价的吗？</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每年预算和实际差异很大，老板不满意，员工不乐意，预算执行与实际差距到底是如何产生的？是预算编制的问题，还是实际执行有了偏差？到底如何调整？</w:t>
      </w:r>
    </w:p>
    <w:p>
      <w:pPr>
        <w:widowControl/>
        <w:spacing w:line="400" w:lineRule="exact"/>
        <w:ind w:firstLine="528" w:firstLineChars="200"/>
        <w:jc w:val="left"/>
        <w:rPr>
          <w:rFonts w:ascii="宋体" w:cs="宋体"/>
          <w:bCs/>
          <w:spacing w:val="-8"/>
          <w:sz w:val="28"/>
          <w:szCs w:val="28"/>
        </w:rPr>
      </w:pPr>
      <w:r>
        <w:rPr>
          <w:rFonts w:hint="eastAsia" w:ascii="宋体" w:hAnsi="宋体" w:cs="宋体"/>
          <w:bCs/>
          <w:spacing w:val="-8"/>
          <w:sz w:val="28"/>
          <w:szCs w:val="28"/>
        </w:rPr>
        <w:t>◆</w:t>
      </w:r>
      <w:r>
        <w:rPr>
          <w:rFonts w:ascii="宋体" w:hAnsi="宋体" w:cs="宋体"/>
          <w:bCs/>
          <w:spacing w:val="-8"/>
          <w:sz w:val="28"/>
          <w:szCs w:val="28"/>
        </w:rPr>
        <w:t xml:space="preserve"> </w:t>
      </w:r>
      <w:r>
        <w:rPr>
          <w:rFonts w:hint="eastAsia" w:ascii="宋体" w:hAnsi="宋体" w:cs="宋体"/>
          <w:bCs/>
          <w:spacing w:val="-8"/>
          <w:sz w:val="28"/>
          <w:szCs w:val="28"/>
        </w:rPr>
        <w:t>预算编制麻烦，不如直接压缩费用，预算就是为了减少开支吗？</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本课程将通过大量的案例分析与实例演练，为学员展示一个系统、科学的预算管理体系，帮助学员了解如何编制合理的预算，如何通过全面预算管理，促进企业部门与部门之间的相互交流与沟通；如何明确并量化公司的经营目标、制定并不断调整经营计划，用预算规范企业的管理控制。真正把财务预算变成企业全体员工认同、为企业成功提供保证的全面预算管理。</w:t>
      </w:r>
    </w:p>
    <w:p>
      <w:pPr>
        <w:widowControl/>
        <w:spacing w:line="38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spacing w:line="380" w:lineRule="exact"/>
        <w:ind w:firstLine="281" w:firstLineChars="100"/>
        <w:jc w:val="left"/>
        <w:rPr>
          <w:rFonts w:ascii="宋体" w:cs="宋体"/>
          <w:b/>
          <w:kern w:val="1"/>
          <w:sz w:val="28"/>
          <w:szCs w:val="28"/>
        </w:rPr>
      </w:pPr>
      <w:r>
        <w:rPr>
          <w:rFonts w:ascii="宋体" w:hAnsi="宋体" w:cs="宋体"/>
          <w:b/>
          <w:kern w:val="1"/>
          <w:sz w:val="28"/>
          <w:szCs w:val="28"/>
        </w:rPr>
        <w:t>1</w:t>
      </w:r>
      <w:r>
        <w:rPr>
          <w:rFonts w:hint="eastAsia" w:ascii="宋体" w:hAnsi="宋体" w:cs="宋体"/>
          <w:b/>
          <w:kern w:val="1"/>
          <w:sz w:val="28"/>
          <w:szCs w:val="28"/>
        </w:rPr>
        <w:t>、预算管理在企业管理中的定位</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预算管理思想在企业中的发展和运用</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预算与战略、运营、绩效之间的关系</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预算管理中的主体及职责定位</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预算管理对象的性质及其分类</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预算管理流程及制度体系建设</w:t>
      </w:r>
    </w:p>
    <w:p>
      <w:pPr>
        <w:widowControl/>
        <w:spacing w:line="380" w:lineRule="exact"/>
        <w:ind w:firstLine="281" w:firstLineChars="100"/>
        <w:jc w:val="left"/>
        <w:rPr>
          <w:rFonts w:ascii="宋体" w:cs="宋体"/>
          <w:b/>
          <w:kern w:val="1"/>
          <w:sz w:val="28"/>
          <w:szCs w:val="28"/>
        </w:rPr>
      </w:pPr>
      <w:r>
        <w:rPr>
          <w:rFonts w:ascii="宋体" w:hAnsi="宋体" w:cs="宋体"/>
          <w:b/>
          <w:kern w:val="1"/>
          <w:sz w:val="28"/>
          <w:szCs w:val="28"/>
        </w:rPr>
        <w:t>2</w:t>
      </w:r>
      <w:r>
        <w:rPr>
          <w:rFonts w:hint="eastAsia" w:ascii="宋体" w:hAnsi="宋体" w:cs="宋体"/>
          <w:b/>
          <w:kern w:val="1"/>
          <w:sz w:val="28"/>
          <w:szCs w:val="28"/>
        </w:rPr>
        <w:t>、预算编制过程中的控制</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预算目标确定方法与实务</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预算指标体系的确定及优劣</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预算目标的有效分解策略</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如何避免分解过程中的讨价还价困境</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不同类型企业预算编制要点</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实务案例分享及经验借鉴</w:t>
      </w:r>
    </w:p>
    <w:p>
      <w:pPr>
        <w:widowControl/>
        <w:spacing w:line="380" w:lineRule="exact"/>
        <w:ind w:firstLine="281" w:firstLineChars="100"/>
        <w:jc w:val="left"/>
        <w:rPr>
          <w:rFonts w:ascii="宋体" w:cs="宋体"/>
          <w:b/>
          <w:kern w:val="1"/>
          <w:sz w:val="28"/>
          <w:szCs w:val="28"/>
        </w:rPr>
      </w:pPr>
      <w:r>
        <w:rPr>
          <w:rFonts w:ascii="宋体" w:hAnsi="宋体" w:cs="宋体"/>
          <w:b/>
          <w:kern w:val="1"/>
          <w:sz w:val="28"/>
          <w:szCs w:val="28"/>
        </w:rPr>
        <w:t>3</w:t>
      </w:r>
      <w:r>
        <w:rPr>
          <w:rFonts w:hint="eastAsia" w:ascii="宋体" w:hAnsi="宋体" w:cs="宋体"/>
          <w:b/>
          <w:kern w:val="1"/>
          <w:sz w:val="28"/>
          <w:szCs w:val="28"/>
        </w:rPr>
        <w:t>、预算执行分析与调整</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预算执行中的按期分解模式</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预算执行中的偏差管理</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预算目标动态监控技巧</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预算调整制度的建立与优化</w:t>
      </w:r>
    </w:p>
    <w:p>
      <w:pPr>
        <w:widowControl/>
        <w:numPr>
          <w:ilvl w:val="0"/>
          <w:numId w:val="5"/>
        </w:numPr>
        <w:spacing w:line="380" w:lineRule="exact"/>
        <w:ind w:firstLine="0"/>
        <w:jc w:val="left"/>
        <w:rPr>
          <w:rFonts w:ascii="宋体" w:cs="宋体"/>
          <w:bCs/>
          <w:kern w:val="1"/>
          <w:sz w:val="28"/>
          <w:szCs w:val="28"/>
        </w:rPr>
      </w:pPr>
      <w:r>
        <w:rPr>
          <w:rFonts w:hint="eastAsia" w:ascii="宋体" w:hAnsi="宋体" w:cs="宋体"/>
          <w:bCs/>
          <w:kern w:val="1"/>
          <w:sz w:val="28"/>
          <w:szCs w:val="28"/>
        </w:rPr>
        <w:t>实务案例分享及经验借鉴</w:t>
      </w:r>
    </w:p>
    <w:p>
      <w:pPr>
        <w:widowControl/>
        <w:spacing w:line="400" w:lineRule="exact"/>
        <w:ind w:firstLine="281" w:firstLineChars="100"/>
        <w:jc w:val="left"/>
        <w:rPr>
          <w:rFonts w:ascii="宋体" w:cs="宋体"/>
          <w:b/>
          <w:kern w:val="1"/>
          <w:sz w:val="28"/>
          <w:szCs w:val="28"/>
        </w:rPr>
      </w:pPr>
      <w:r>
        <w:rPr>
          <w:rFonts w:ascii="宋体" w:hAnsi="宋体" w:cs="宋体"/>
          <w:b/>
          <w:kern w:val="1"/>
          <w:sz w:val="28"/>
          <w:szCs w:val="28"/>
        </w:rPr>
        <w:t>4</w:t>
      </w:r>
      <w:r>
        <w:rPr>
          <w:rFonts w:hint="eastAsia" w:ascii="宋体" w:hAnsi="宋体" w:cs="宋体"/>
          <w:b/>
          <w:kern w:val="1"/>
          <w:sz w:val="28"/>
          <w:szCs w:val="28"/>
        </w:rPr>
        <w:t>、绩效管理与绩效评价</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绩效管理的基本概念</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绩效管理的参与部门</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平衡计分卡</w:t>
      </w:r>
      <w:r>
        <w:rPr>
          <w:rFonts w:ascii="宋体" w:hAnsi="宋体" w:cs="宋体"/>
          <w:bCs/>
          <w:kern w:val="1"/>
          <w:sz w:val="28"/>
          <w:szCs w:val="28"/>
        </w:rPr>
        <w:t>—</w:t>
      </w:r>
      <w:r>
        <w:rPr>
          <w:rFonts w:hint="eastAsia" w:ascii="宋体" w:hAnsi="宋体" w:cs="宋体"/>
          <w:bCs/>
          <w:kern w:val="1"/>
          <w:sz w:val="28"/>
          <w:szCs w:val="28"/>
        </w:rPr>
        <w:t>化战略为行动</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战略地图</w:t>
      </w:r>
      <w:r>
        <w:rPr>
          <w:rFonts w:ascii="宋体" w:hAnsi="宋体" w:cs="宋体"/>
          <w:bCs/>
          <w:kern w:val="1"/>
          <w:sz w:val="28"/>
          <w:szCs w:val="28"/>
        </w:rPr>
        <w:t>——</w:t>
      </w:r>
      <w:r>
        <w:rPr>
          <w:rFonts w:hint="eastAsia" w:ascii="宋体" w:hAnsi="宋体" w:cs="宋体"/>
          <w:bCs/>
          <w:kern w:val="1"/>
          <w:sz w:val="28"/>
          <w:szCs w:val="28"/>
        </w:rPr>
        <w:t>描述企业如何创造价值</w:t>
      </w:r>
    </w:p>
    <w:p>
      <w:pPr>
        <w:widowControl/>
        <w:numPr>
          <w:ilvl w:val="0"/>
          <w:numId w:val="5"/>
        </w:numPr>
        <w:spacing w:line="400" w:lineRule="exact"/>
        <w:ind w:firstLine="0"/>
        <w:jc w:val="left"/>
        <w:rPr>
          <w:rFonts w:ascii="宋体" w:cs="宋体"/>
          <w:b/>
          <w:sz w:val="28"/>
          <w:szCs w:val="28"/>
        </w:rPr>
      </w:pPr>
      <w:r>
        <w:rPr>
          <w:rFonts w:hint="eastAsia" w:ascii="宋体" w:hAnsi="宋体" w:cs="宋体"/>
          <w:bCs/>
          <w:kern w:val="1"/>
          <w:sz w:val="28"/>
          <w:szCs w:val="28"/>
        </w:rPr>
        <w:t>企业绩效评价、企业绩效评价、职能部门绩效评价、预算考核</w:t>
      </w:r>
    </w:p>
    <w:p>
      <w:pPr>
        <w:widowControl/>
        <w:spacing w:line="400" w:lineRule="exact"/>
        <w:jc w:val="left"/>
        <w:rPr>
          <w:rFonts w:ascii="宋体" w:cs="宋体"/>
          <w:b/>
          <w:kern w:val="1"/>
          <w:sz w:val="28"/>
          <w:szCs w:val="28"/>
        </w:rPr>
      </w:pPr>
      <w:r>
        <w:rPr>
          <w:rFonts w:hint="eastAsia" w:ascii="宋体" w:hAnsi="宋体" w:cs="宋体"/>
          <w:b/>
          <w:sz w:val="28"/>
          <w:szCs w:val="28"/>
        </w:rPr>
        <w:t>专题四：企业内部控制与资产管理</w:t>
      </w:r>
    </w:p>
    <w:p>
      <w:pPr>
        <w:widowControl/>
        <w:numPr>
          <w:ilvl w:val="0"/>
          <w:numId w:val="6"/>
        </w:numPr>
        <w:spacing w:line="400" w:lineRule="exact"/>
        <w:ind w:firstLine="281" w:firstLineChars="100"/>
        <w:jc w:val="left"/>
        <w:rPr>
          <w:rFonts w:ascii="宋体" w:cs="宋体"/>
          <w:b/>
          <w:sz w:val="28"/>
          <w:szCs w:val="28"/>
        </w:rPr>
      </w:pPr>
      <w:r>
        <w:rPr>
          <w:rFonts w:hint="eastAsia" w:ascii="宋体" w:hAnsi="宋体" w:cs="宋体"/>
          <w:b/>
          <w:sz w:val="28"/>
          <w:szCs w:val="28"/>
        </w:rPr>
        <w:t>专题介绍：</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内部控制对于企业经营管理的重要性日益凸显；它涉及到企业的方方面面，涉及企业运营的各个层次，包括各项业务、业务流程中的各个环节和企业中的每一个成员。到目前，国内企业的内部控制工作面临三种情况和难点：一是已经全面实施《企业内部控制规范》及其配套指引的企业，下一步的内部控制工作如何走向深入和提升优化；二是还没有全面实施的企业，特别是民营企业，如何吸取其他企业实施中积累的经验和教训，从而高起点、高水准开展内部控制工作；三是拟上市公司如何完善内部控制，特别是财务报告相关的内部控制体系，以满足监管要求，消除上市障碍。</w:t>
      </w:r>
    </w:p>
    <w:p>
      <w:pPr>
        <w:widowControl/>
        <w:spacing w:line="400" w:lineRule="exact"/>
        <w:ind w:right="-197" w:rightChars="-94" w:firstLine="528" w:firstLineChars="200"/>
        <w:jc w:val="left"/>
        <w:rPr>
          <w:rFonts w:ascii="宋体" w:cs="宋体"/>
          <w:bCs/>
          <w:spacing w:val="-8"/>
          <w:sz w:val="28"/>
          <w:szCs w:val="28"/>
        </w:rPr>
      </w:pPr>
      <w:r>
        <w:rPr>
          <w:rFonts w:hint="eastAsia" w:ascii="宋体" w:hAnsi="宋体" w:cs="宋体"/>
          <w:bCs/>
          <w:spacing w:val="-8"/>
          <w:sz w:val="28"/>
          <w:szCs w:val="28"/>
        </w:rPr>
        <w:t>企业资产管理是面向资产密集型企业的信息化，制造业信息化，企业信息化解决方案的总称。它以提高资产可利用率、降低企业运行维护成本为目标，以优化企业维修资源为核心，通过信息化手段，合理安排维修计划及相关资源与活动。通过提高设备可利用率得以增加收益，通过优化安排维修资源得以降低成本，从而提高企业的经济效益和企业的市场竞争力。</w:t>
      </w:r>
    </w:p>
    <w:p>
      <w:pPr>
        <w:widowControl/>
        <w:spacing w:line="40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我国内控存在的常见问题解析</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企业内控建设流程与方法</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内控的实战技能</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内控评价与审计</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内控信息化建设</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风险投资与企业融资</w:t>
      </w:r>
      <w:r>
        <w:rPr>
          <w:rFonts w:ascii="宋体" w:hAnsi="宋体" w:cs="宋体"/>
          <w:kern w:val="0"/>
          <w:sz w:val="28"/>
          <w:szCs w:val="28"/>
        </w:rPr>
        <w:t xml:space="preserve">                                               </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产权制度与企业法人治理结构</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国有资产管理政策与实务</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国有资产管理政策体系</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国有资产配置管理、使用管理、处置管理、清查核实、产权登记、评估管理、监督管理、报告管理讲解</w:t>
      </w:r>
    </w:p>
    <w:p>
      <w:pPr>
        <w:widowControl/>
        <w:numPr>
          <w:ilvl w:val="0"/>
          <w:numId w:val="7"/>
        </w:numPr>
        <w:spacing w:line="400" w:lineRule="exact"/>
        <w:ind w:firstLine="0"/>
        <w:jc w:val="left"/>
        <w:rPr>
          <w:rFonts w:ascii="宋体" w:cs="宋体"/>
          <w:b/>
          <w:sz w:val="28"/>
          <w:szCs w:val="28"/>
        </w:rPr>
      </w:pPr>
      <w:r>
        <w:rPr>
          <w:rFonts w:hint="eastAsia" w:ascii="宋体" w:hAnsi="宋体" w:cs="宋体"/>
          <w:kern w:val="0"/>
          <w:sz w:val="28"/>
          <w:szCs w:val="28"/>
        </w:rPr>
        <w:t>国有资产信息化案例</w:t>
      </w:r>
    </w:p>
    <w:p>
      <w:pPr>
        <w:widowControl/>
        <w:spacing w:line="400" w:lineRule="exact"/>
        <w:jc w:val="left"/>
        <w:rPr>
          <w:rFonts w:ascii="宋体" w:cs="宋体"/>
          <w:b/>
          <w:sz w:val="28"/>
          <w:szCs w:val="28"/>
        </w:rPr>
      </w:pPr>
      <w:r>
        <w:rPr>
          <w:rFonts w:hint="eastAsia" w:ascii="宋体" w:hAnsi="宋体" w:cs="宋体"/>
          <w:b/>
          <w:sz w:val="28"/>
          <w:szCs w:val="28"/>
        </w:rPr>
        <w:t>专题五：大数据应用与财务转型</w:t>
      </w:r>
    </w:p>
    <w:p>
      <w:pPr>
        <w:widowControl/>
        <w:spacing w:line="400" w:lineRule="exact"/>
        <w:ind w:firstLine="281" w:firstLineChars="100"/>
        <w:jc w:val="left"/>
        <w:rPr>
          <w:rFonts w:ascii="宋体" w:cs="宋体"/>
          <w:bCs/>
          <w:sz w:val="28"/>
          <w:szCs w:val="28"/>
        </w:rPr>
      </w:pPr>
      <w:r>
        <w:rPr>
          <w:rFonts w:hint="eastAsia" w:ascii="宋体" w:hAnsi="宋体" w:cs="宋体"/>
          <w:b/>
          <w:sz w:val="28"/>
          <w:szCs w:val="28"/>
        </w:rPr>
        <w:t>（一）专题介绍：</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随着信息化和数字化的发展，大数据技术正不断地被引入企业当中，企业管理能力和效率的提升必须实现量化分析与管理，从数据中挖掘价值，通过大数据应用实现企业智能化管理已经成为优秀企业的重要标志。面对企业内部各种数据信息，尤其是财务部门所掌握的大量财务数据，如何利用数据分析技术与工具实现智能化的财务分析与管理，帮助企业提高决策计划及管控能力，将是时下财务人员必须掌握的重要技能之一。</w:t>
      </w:r>
    </w:p>
    <w:p>
      <w:pPr>
        <w:widowControl/>
        <w:spacing w:line="40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大数据对企业财务的影响</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大数据与企业财务风险预警</w:t>
      </w:r>
    </w:p>
    <w:p>
      <w:pPr>
        <w:widowControl/>
        <w:numPr>
          <w:ilvl w:val="0"/>
          <w:numId w:val="7"/>
        </w:numPr>
        <w:spacing w:line="400" w:lineRule="exact"/>
        <w:ind w:firstLine="0"/>
        <w:jc w:val="left"/>
        <w:rPr>
          <w:rFonts w:ascii="宋体" w:cs="宋体"/>
          <w:kern w:val="0"/>
          <w:sz w:val="28"/>
          <w:szCs w:val="28"/>
        </w:rPr>
      </w:pPr>
      <w:r>
        <w:rPr>
          <w:rFonts w:hint="eastAsia" w:ascii="宋体" w:hAnsi="宋体" w:cs="宋体"/>
          <w:kern w:val="0"/>
          <w:sz w:val="28"/>
          <w:szCs w:val="28"/>
        </w:rPr>
        <w:t>财务转型的起点</w:t>
      </w:r>
    </w:p>
    <w:p>
      <w:pPr>
        <w:widowControl/>
        <w:spacing w:line="400" w:lineRule="exact"/>
        <w:jc w:val="left"/>
        <w:rPr>
          <w:rFonts w:ascii="宋体" w:cs="宋体"/>
          <w:b/>
          <w:sz w:val="28"/>
          <w:szCs w:val="28"/>
        </w:rPr>
      </w:pPr>
      <w:r>
        <w:rPr>
          <w:rFonts w:hint="eastAsia" w:ascii="宋体" w:hAnsi="宋体" w:cs="宋体"/>
          <w:b/>
          <w:sz w:val="28"/>
          <w:szCs w:val="28"/>
        </w:rPr>
        <w:t>专题六：集团财务共享服务中心建设与运营实战技能提升</w:t>
      </w:r>
    </w:p>
    <w:p>
      <w:pPr>
        <w:widowControl/>
        <w:numPr>
          <w:ilvl w:val="0"/>
          <w:numId w:val="8"/>
        </w:numPr>
        <w:spacing w:line="400" w:lineRule="exact"/>
        <w:ind w:firstLine="281" w:firstLineChars="100"/>
        <w:jc w:val="left"/>
        <w:rPr>
          <w:rFonts w:ascii="宋体" w:cs="宋体"/>
          <w:b/>
          <w:sz w:val="28"/>
          <w:szCs w:val="28"/>
        </w:rPr>
      </w:pPr>
      <w:r>
        <w:rPr>
          <w:rFonts w:hint="eastAsia" w:ascii="宋体" w:hAnsi="宋体" w:cs="宋体"/>
          <w:b/>
          <w:sz w:val="28"/>
          <w:szCs w:val="28"/>
        </w:rPr>
        <w:t>专题介绍：</w:t>
      </w:r>
    </w:p>
    <w:p>
      <w:pPr>
        <w:widowControl/>
        <w:spacing w:line="400" w:lineRule="exact"/>
        <w:ind w:firstLine="592" w:firstLineChars="200"/>
        <w:jc w:val="left"/>
        <w:rPr>
          <w:rFonts w:ascii="宋体" w:cs="宋体"/>
          <w:bCs/>
          <w:spacing w:val="8"/>
          <w:sz w:val="28"/>
          <w:szCs w:val="28"/>
        </w:rPr>
      </w:pPr>
      <w:r>
        <w:rPr>
          <w:rFonts w:hint="eastAsia" w:ascii="宋体" w:hAnsi="宋体" w:cs="宋体"/>
          <w:bCs/>
          <w:spacing w:val="8"/>
          <w:sz w:val="28"/>
          <w:szCs w:val="28"/>
        </w:rPr>
        <w:t>传统的财务会计专注于会计核算，在“有助于财务会计报吉使用者作出经济决策”方面发挥的作用还远远不够。通过建立财务共享服务中心的方式，可以将会计基础核算等低附加值的作业劳动集中起来，基于流程再造和</w:t>
      </w:r>
      <w:r>
        <w:rPr>
          <w:rFonts w:ascii="宋体" w:hAnsi="宋体" w:cs="宋体"/>
          <w:bCs/>
          <w:spacing w:val="8"/>
          <w:sz w:val="28"/>
          <w:szCs w:val="28"/>
        </w:rPr>
        <w:t>IT</w:t>
      </w:r>
      <w:r>
        <w:rPr>
          <w:rFonts w:hint="eastAsia" w:ascii="宋体" w:hAnsi="宋体" w:cs="宋体"/>
          <w:bCs/>
          <w:spacing w:val="8"/>
          <w:sz w:val="28"/>
          <w:szCs w:val="28"/>
        </w:rPr>
        <w:t>系统整合，可以最终提升会计核算业务处理效率。在巩固财务会计基础、加强營控的同时</w:t>
      </w:r>
      <w:r>
        <w:rPr>
          <w:rFonts w:ascii="宋体" w:cs="宋体"/>
          <w:bCs/>
          <w:spacing w:val="8"/>
          <w:sz w:val="28"/>
          <w:szCs w:val="28"/>
        </w:rPr>
        <w:t>,</w:t>
      </w:r>
      <w:r>
        <w:rPr>
          <w:rFonts w:hint="eastAsia" w:ascii="宋体" w:hAnsi="宋体" w:cs="宋体"/>
          <w:bCs/>
          <w:spacing w:val="8"/>
          <w:sz w:val="28"/>
          <w:szCs w:val="28"/>
        </w:rPr>
        <w:t>作为后台服务的财务共享服务中心，可以为战略、经营决策提供重要的信息和分析，以支持更能为公司创适价值的管理会计活动。通过建立财务共享冃験中心，企业不仅提升了会计核算处理的效率，降低了成本，加强了管控。更为重要的是，通过建设财务共享服务中心</w:t>
      </w:r>
      <w:r>
        <w:rPr>
          <w:rFonts w:ascii="宋体" w:cs="宋体"/>
          <w:bCs/>
          <w:spacing w:val="8"/>
          <w:sz w:val="28"/>
          <w:szCs w:val="28"/>
        </w:rPr>
        <w:t>,</w:t>
      </w:r>
      <w:r>
        <w:rPr>
          <w:rFonts w:hint="eastAsia" w:ascii="宋体" w:hAnsi="宋体" w:cs="宋体"/>
          <w:bCs/>
          <w:spacing w:val="8"/>
          <w:sz w:val="28"/>
          <w:szCs w:val="28"/>
        </w:rPr>
        <w:t>企业会程放大量的财务会计人员，让他们从大量低附加值、重复、劳动力</w:t>
      </w:r>
      <w:r>
        <w:rPr>
          <w:rFonts w:ascii="宋体" w:hAnsi="宋体" w:cs="宋体"/>
          <w:bCs/>
          <w:spacing w:val="8"/>
          <w:sz w:val="28"/>
          <w:szCs w:val="28"/>
        </w:rPr>
        <w:t xml:space="preserve"> </w:t>
      </w:r>
      <w:r>
        <w:rPr>
          <w:rFonts w:hint="eastAsia" w:ascii="宋体" w:hAnsi="宋体" w:cs="宋体"/>
          <w:bCs/>
          <w:spacing w:val="8"/>
          <w:sz w:val="28"/>
          <w:szCs w:val="28"/>
        </w:rPr>
        <w:t>密集型的基础核鼻工作中解脱出来，让他们集中精力去从事所谓的业务型财务和战略型财务，实现财务与业务、战略的一体化，让管理</w:t>
      </w:r>
      <w:r>
        <w:rPr>
          <w:rFonts w:ascii="宋体" w:hAnsi="宋体" w:cs="宋体"/>
          <w:bCs/>
          <w:spacing w:val="8"/>
          <w:sz w:val="28"/>
          <w:szCs w:val="28"/>
        </w:rPr>
        <w:t xml:space="preserve"> </w:t>
      </w:r>
      <w:r>
        <w:rPr>
          <w:rFonts w:hint="eastAsia" w:ascii="宋体" w:hAnsi="宋体" w:cs="宋体"/>
          <w:bCs/>
          <w:spacing w:val="8"/>
          <w:sz w:val="28"/>
          <w:szCs w:val="28"/>
        </w:rPr>
        <w:t>会计直正落地实施，实现财务为企业増加价值的目标。</w:t>
      </w:r>
    </w:p>
    <w:p>
      <w:pPr>
        <w:widowControl/>
        <w:numPr>
          <w:ilvl w:val="0"/>
          <w:numId w:val="8"/>
        </w:numPr>
        <w:spacing w:line="400" w:lineRule="exact"/>
        <w:ind w:firstLine="281" w:firstLineChars="100"/>
        <w:jc w:val="left"/>
        <w:rPr>
          <w:rFonts w:ascii="宋体" w:cs="宋体"/>
          <w:b/>
          <w:sz w:val="28"/>
          <w:szCs w:val="28"/>
        </w:rPr>
      </w:pPr>
      <w:r>
        <w:rPr>
          <w:rFonts w:hint="eastAsia" w:ascii="宋体" w:hAnsi="宋体" w:cs="宋体"/>
          <w:b/>
          <w:sz w:val="28"/>
          <w:szCs w:val="28"/>
        </w:rPr>
        <w:t>课程内容：</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财务共享服务中心建设的准备工作</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财务共享服务中心的方案设计</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财务共享服务中心建设的项目管理</w:t>
      </w:r>
    </w:p>
    <w:p>
      <w:pPr>
        <w:widowControl/>
        <w:numPr>
          <w:ilvl w:val="0"/>
          <w:numId w:val="5"/>
        </w:numPr>
        <w:spacing w:line="400" w:lineRule="exact"/>
        <w:ind w:firstLine="0"/>
        <w:jc w:val="left"/>
        <w:rPr>
          <w:rFonts w:ascii="宋体" w:cs="宋体"/>
          <w:bCs/>
          <w:kern w:val="1"/>
          <w:sz w:val="28"/>
          <w:szCs w:val="28"/>
        </w:rPr>
      </w:pPr>
      <w:r>
        <w:rPr>
          <w:rFonts w:hint="eastAsia" w:ascii="宋体" w:hAnsi="宋体" w:cs="宋体"/>
          <w:bCs/>
          <w:kern w:val="1"/>
          <w:sz w:val="28"/>
          <w:szCs w:val="28"/>
        </w:rPr>
        <w:t>财务共享服务中心增值服务的功能拓展</w:t>
      </w:r>
    </w:p>
    <w:p>
      <w:pPr>
        <w:widowControl/>
        <w:numPr>
          <w:ilvl w:val="0"/>
          <w:numId w:val="5"/>
        </w:numPr>
        <w:spacing w:line="400" w:lineRule="exact"/>
        <w:ind w:firstLine="0"/>
        <w:jc w:val="left"/>
        <w:rPr>
          <w:rFonts w:ascii="宋体" w:cs="宋体"/>
          <w:b/>
          <w:sz w:val="28"/>
          <w:szCs w:val="28"/>
        </w:rPr>
      </w:pPr>
      <w:r>
        <w:rPr>
          <w:rFonts w:hint="eastAsia" w:ascii="宋体" w:hAnsi="宋体" w:cs="宋体"/>
          <w:bCs/>
          <w:kern w:val="1"/>
          <w:sz w:val="28"/>
          <w:szCs w:val="28"/>
        </w:rPr>
        <w:t>云计算、大数据、互联网背景下的财务共享服务</w:t>
      </w:r>
    </w:p>
    <w:p>
      <w:pPr>
        <w:widowControl/>
        <w:spacing w:line="400" w:lineRule="exact"/>
        <w:jc w:val="left"/>
        <w:rPr>
          <w:rFonts w:ascii="宋体" w:cs="宋体"/>
          <w:b/>
          <w:sz w:val="28"/>
          <w:szCs w:val="28"/>
        </w:rPr>
      </w:pPr>
      <w:r>
        <w:rPr>
          <w:rFonts w:hint="eastAsia" w:ascii="宋体" w:hAnsi="宋体" w:cs="宋体"/>
          <w:b/>
          <w:sz w:val="28"/>
          <w:szCs w:val="28"/>
        </w:rPr>
        <w:t>专题七：公司并购与重组</w:t>
      </w:r>
    </w:p>
    <w:p>
      <w:pPr>
        <w:widowControl/>
        <w:numPr>
          <w:ilvl w:val="0"/>
          <w:numId w:val="9"/>
        </w:numPr>
        <w:spacing w:line="400" w:lineRule="exact"/>
        <w:jc w:val="left"/>
        <w:rPr>
          <w:rFonts w:ascii="宋体" w:cs="宋体"/>
          <w:b/>
          <w:sz w:val="28"/>
          <w:szCs w:val="28"/>
        </w:rPr>
      </w:pPr>
      <w:r>
        <w:rPr>
          <w:rFonts w:hint="eastAsia" w:ascii="宋体" w:hAnsi="宋体" w:cs="宋体"/>
          <w:b/>
          <w:sz w:val="28"/>
          <w:szCs w:val="28"/>
        </w:rPr>
        <w:t>专题介绍：</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并购重组，已经成为最大化企业价值和创造持续竞争优势的企业战略的一个重要措施。以金融服务业、医疗、互联网、高科技等行业为代表，通过并购实现外延性增长，实现快速扩张以能源、矿产和钢铁为代表的传统行业在主业趋于疲软下，积极通过并购进入新领域，实现企业战略转型优秀企业纷纷走出国门，在全球范围内收购品牌、技术、能源等战略性资源，开辟新的成长市场</w:t>
      </w:r>
      <w:r>
        <w:rPr>
          <w:rFonts w:ascii="宋体" w:hAnsi="宋体" w:cs="宋体"/>
          <w:bCs/>
          <w:sz w:val="28"/>
          <w:szCs w:val="28"/>
        </w:rPr>
        <w:t>;</w:t>
      </w:r>
      <w:r>
        <w:rPr>
          <w:rFonts w:hint="eastAsia" w:ascii="宋体" w:hAnsi="宋体" w:cs="宋体"/>
          <w:bCs/>
          <w:sz w:val="28"/>
          <w:szCs w:val="28"/>
        </w:rPr>
        <w:t>政府推动国企的混合所有制改革，催生大量的并购交易</w:t>
      </w:r>
      <w:r>
        <w:rPr>
          <w:rFonts w:ascii="宋体" w:hAnsi="宋体" w:cs="宋体"/>
          <w:bCs/>
          <w:sz w:val="28"/>
          <w:szCs w:val="28"/>
        </w:rPr>
        <w:t>;</w:t>
      </w:r>
      <w:r>
        <w:rPr>
          <w:rFonts w:hint="eastAsia" w:ascii="宋体" w:hAnsi="宋体" w:cs="宋体"/>
          <w:bCs/>
          <w:sz w:val="28"/>
          <w:szCs w:val="28"/>
        </w:rPr>
        <w:t>在政策层面，政府不断松绑、创新并购相关政策，在并购审批、税务优惠、资金政策等方面的支持，直接有力地推动并购市场的持续活跃。然而，许多并购难以获得预想的成功，针对企业并购过程中遇到的种种问题，以及并购运作团队管理能力的欠缺，本课程内容立足深入剖析企业并购重组的运作方法与策略，集合海内外并购成功案例的通行要素，帮助企业提高并购成功率。</w:t>
      </w:r>
    </w:p>
    <w:p>
      <w:pPr>
        <w:widowControl/>
        <w:numPr>
          <w:ilvl w:val="0"/>
          <w:numId w:val="9"/>
        </w:numPr>
        <w:spacing w:line="400" w:lineRule="exact"/>
        <w:jc w:val="left"/>
        <w:rPr>
          <w:rFonts w:ascii="宋体" w:cs="宋体"/>
          <w:b/>
          <w:sz w:val="28"/>
          <w:szCs w:val="28"/>
        </w:rPr>
      </w:pPr>
      <w:r>
        <w:rPr>
          <w:rFonts w:hint="eastAsia" w:ascii="宋体" w:hAnsi="宋体" w:cs="宋体"/>
          <w:b/>
          <w:sz w:val="28"/>
          <w:szCs w:val="28"/>
        </w:rPr>
        <w:t>课程内容：</w:t>
      </w:r>
    </w:p>
    <w:p>
      <w:pPr>
        <w:widowControl/>
        <w:numPr>
          <w:ilvl w:val="0"/>
          <w:numId w:val="10"/>
        </w:numPr>
        <w:spacing w:line="400" w:lineRule="exact"/>
        <w:ind w:firstLine="0"/>
        <w:jc w:val="left"/>
        <w:rPr>
          <w:rFonts w:ascii="宋体" w:cs="宋体"/>
          <w:kern w:val="0"/>
          <w:sz w:val="28"/>
          <w:szCs w:val="28"/>
        </w:rPr>
      </w:pPr>
      <w:r>
        <w:rPr>
          <w:rFonts w:hint="eastAsia" w:ascii="宋体" w:hAnsi="宋体" w:cs="宋体"/>
          <w:kern w:val="0"/>
          <w:sz w:val="28"/>
          <w:szCs w:val="28"/>
        </w:rPr>
        <w:t>集团企业现金流管理与控制实务</w:t>
      </w:r>
    </w:p>
    <w:p>
      <w:pPr>
        <w:widowControl/>
        <w:numPr>
          <w:ilvl w:val="0"/>
          <w:numId w:val="10"/>
        </w:numPr>
        <w:spacing w:line="400" w:lineRule="exact"/>
        <w:ind w:firstLine="0"/>
        <w:jc w:val="left"/>
        <w:rPr>
          <w:rFonts w:ascii="宋体" w:cs="宋体"/>
          <w:kern w:val="0"/>
          <w:sz w:val="28"/>
          <w:szCs w:val="28"/>
        </w:rPr>
      </w:pPr>
      <w:r>
        <w:rPr>
          <w:rFonts w:hint="eastAsia" w:ascii="宋体" w:hAnsi="宋体" w:cs="宋体"/>
          <w:kern w:val="0"/>
          <w:sz w:val="28"/>
          <w:szCs w:val="28"/>
        </w:rPr>
        <w:t>企业并购与并购融资</w:t>
      </w:r>
      <w:r>
        <w:rPr>
          <w:rFonts w:ascii="宋体" w:hAnsi="宋体" w:cs="宋体"/>
          <w:kern w:val="0"/>
          <w:sz w:val="28"/>
          <w:szCs w:val="28"/>
        </w:rPr>
        <w:t xml:space="preserve">                                          </w:t>
      </w:r>
    </w:p>
    <w:p>
      <w:pPr>
        <w:widowControl/>
        <w:numPr>
          <w:ilvl w:val="0"/>
          <w:numId w:val="10"/>
        </w:numPr>
        <w:spacing w:line="400" w:lineRule="exact"/>
        <w:ind w:firstLine="0"/>
        <w:jc w:val="left"/>
        <w:rPr>
          <w:rFonts w:ascii="宋体" w:cs="宋体"/>
          <w:kern w:val="0"/>
          <w:sz w:val="28"/>
          <w:szCs w:val="28"/>
        </w:rPr>
      </w:pPr>
      <w:r>
        <w:rPr>
          <w:rFonts w:hint="eastAsia" w:ascii="宋体" w:hAnsi="宋体" w:cs="宋体"/>
          <w:kern w:val="0"/>
          <w:sz w:val="28"/>
          <w:szCs w:val="28"/>
        </w:rPr>
        <w:t>并购中的估值及报告阅读的关键</w:t>
      </w:r>
    </w:p>
    <w:p>
      <w:pPr>
        <w:widowControl/>
        <w:numPr>
          <w:ilvl w:val="0"/>
          <w:numId w:val="10"/>
        </w:numPr>
        <w:spacing w:line="400" w:lineRule="exact"/>
        <w:ind w:firstLine="0"/>
        <w:jc w:val="left"/>
        <w:rPr>
          <w:rFonts w:ascii="宋体" w:cs="宋体"/>
          <w:b/>
          <w:sz w:val="28"/>
          <w:szCs w:val="28"/>
        </w:rPr>
      </w:pPr>
      <w:r>
        <w:rPr>
          <w:rFonts w:hint="eastAsia" w:ascii="宋体" w:hAnsi="宋体" w:cs="宋体"/>
          <w:kern w:val="0"/>
          <w:sz w:val="28"/>
          <w:szCs w:val="28"/>
        </w:rPr>
        <w:t>并购重组中的财务问题</w:t>
      </w:r>
    </w:p>
    <w:p>
      <w:pPr>
        <w:widowControl/>
        <w:numPr>
          <w:ilvl w:val="0"/>
          <w:numId w:val="10"/>
        </w:numPr>
        <w:spacing w:line="400" w:lineRule="exact"/>
        <w:ind w:firstLine="0"/>
        <w:jc w:val="left"/>
        <w:rPr>
          <w:rFonts w:ascii="宋体" w:cs="宋体"/>
          <w:kern w:val="0"/>
          <w:sz w:val="28"/>
          <w:szCs w:val="28"/>
        </w:rPr>
      </w:pPr>
      <w:r>
        <w:rPr>
          <w:rFonts w:hint="eastAsia" w:ascii="宋体" w:hAnsi="宋体" w:cs="宋体"/>
          <w:kern w:val="0"/>
          <w:sz w:val="28"/>
          <w:szCs w:val="28"/>
        </w:rPr>
        <w:t>并购重组的风险控制</w:t>
      </w:r>
    </w:p>
    <w:p>
      <w:pPr>
        <w:widowControl/>
        <w:spacing w:line="400" w:lineRule="exact"/>
        <w:jc w:val="left"/>
        <w:rPr>
          <w:rFonts w:ascii="宋体" w:cs="宋体"/>
          <w:b/>
          <w:sz w:val="28"/>
          <w:szCs w:val="28"/>
        </w:rPr>
      </w:pPr>
      <w:r>
        <w:rPr>
          <w:rFonts w:hint="eastAsia" w:ascii="宋体" w:hAnsi="宋体" w:cs="宋体"/>
          <w:b/>
          <w:sz w:val="28"/>
          <w:szCs w:val="28"/>
        </w:rPr>
        <w:t>专题八：数字化时代的业财融合实务与案例分析</w:t>
      </w:r>
    </w:p>
    <w:p>
      <w:pPr>
        <w:widowControl/>
        <w:numPr>
          <w:ilvl w:val="0"/>
          <w:numId w:val="11"/>
        </w:numPr>
        <w:spacing w:line="400" w:lineRule="exact"/>
        <w:ind w:firstLine="281" w:firstLineChars="100"/>
        <w:jc w:val="left"/>
        <w:rPr>
          <w:rFonts w:ascii="宋体" w:cs="宋体"/>
          <w:b/>
          <w:sz w:val="28"/>
          <w:szCs w:val="28"/>
        </w:rPr>
      </w:pPr>
      <w:r>
        <w:rPr>
          <w:rFonts w:hint="eastAsia" w:ascii="宋体" w:hAnsi="宋体" w:cs="宋体"/>
          <w:b/>
          <w:sz w:val="28"/>
          <w:szCs w:val="28"/>
        </w:rPr>
        <w:t>专题介绍：</w:t>
      </w:r>
    </w:p>
    <w:p>
      <w:pPr>
        <w:widowControl/>
        <w:spacing w:line="400" w:lineRule="exact"/>
        <w:ind w:firstLine="560" w:firstLineChars="200"/>
        <w:jc w:val="left"/>
        <w:rPr>
          <w:rFonts w:ascii="宋体" w:cs="宋体"/>
          <w:bCs/>
          <w:sz w:val="28"/>
          <w:szCs w:val="28"/>
        </w:rPr>
      </w:pPr>
      <w:r>
        <w:rPr>
          <w:rFonts w:hint="eastAsia" w:ascii="宋体" w:hAnsi="宋体" w:cs="宋体"/>
          <w:bCs/>
          <w:sz w:val="28"/>
          <w:szCs w:val="28"/>
        </w:rPr>
        <w:t>在经济步入新常态的当下，企业需要的不是等待时机，而是不懈努力。必须以坚忍不拔的精神开展持续重塑，不断寻求并实施变革，做出敏捷的分析和预测，把资源集中于回报更高、前景更好的市场、产品或渠道。作为业务合作伙伴，财务专业人士能够为上述决策提供支持，并推动有效的绩效管理。而要实现这一目标，财务部门必须转型。财务需要借助标准化、自动化和共享服务提高效率，需要借助云计算、大数据和</w:t>
      </w:r>
      <w:r>
        <w:rPr>
          <w:rFonts w:ascii="宋体" w:hAnsi="宋体" w:cs="宋体"/>
          <w:bCs/>
          <w:sz w:val="28"/>
          <w:szCs w:val="28"/>
        </w:rPr>
        <w:t>BI</w:t>
      </w:r>
      <w:r>
        <w:rPr>
          <w:rFonts w:hint="eastAsia" w:ascii="宋体" w:hAnsi="宋体" w:cs="宋体"/>
          <w:bCs/>
          <w:sz w:val="28"/>
          <w:szCs w:val="28"/>
        </w:rPr>
        <w:t>等提供有效的管理信息，通过决策支持和绩效管理发挥更大的影响力和作用，也就是业财融合。作为高效的业务合作伙伴，财务人员需要具备综合的技术、人际及概念能力。为在有限的时间内给大家提供财务转型的逻辑与路径参考，此次课程，以案例教学的方式，以点带面，逐步深入，让各类企业都能从中找到切入点，开启价值创造之路。</w:t>
      </w:r>
    </w:p>
    <w:p>
      <w:pPr>
        <w:widowControl/>
        <w:spacing w:line="38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财务管理转型背景</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业务对财务的需求</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战略支持路径与工具</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财务管理转型与信息技术运用能力</w:t>
      </w:r>
    </w:p>
    <w:p>
      <w:pPr>
        <w:widowControl/>
        <w:spacing w:line="380" w:lineRule="exact"/>
        <w:jc w:val="left"/>
        <w:rPr>
          <w:rFonts w:ascii="宋体" w:cs="宋体"/>
          <w:b/>
          <w:sz w:val="28"/>
          <w:szCs w:val="28"/>
        </w:rPr>
      </w:pPr>
      <w:r>
        <w:rPr>
          <w:rFonts w:hint="eastAsia" w:ascii="宋体" w:hAnsi="宋体" w:cs="宋体"/>
          <w:b/>
          <w:sz w:val="28"/>
          <w:szCs w:val="28"/>
        </w:rPr>
        <w:t>专题九；财务共享中心的建设与实践</w:t>
      </w:r>
    </w:p>
    <w:p>
      <w:pPr>
        <w:widowControl/>
        <w:spacing w:line="380" w:lineRule="exact"/>
        <w:ind w:firstLine="281" w:firstLineChars="100"/>
        <w:jc w:val="left"/>
        <w:rPr>
          <w:rFonts w:ascii="宋体" w:cs="宋体"/>
          <w:bCs/>
          <w:sz w:val="28"/>
          <w:szCs w:val="28"/>
        </w:rPr>
      </w:pPr>
      <w:r>
        <w:rPr>
          <w:rFonts w:hint="eastAsia" w:ascii="宋体" w:hAnsi="宋体" w:cs="宋体"/>
          <w:b/>
          <w:sz w:val="28"/>
          <w:szCs w:val="28"/>
        </w:rPr>
        <w:t>（一）专题介绍：</w:t>
      </w:r>
    </w:p>
    <w:p>
      <w:pPr>
        <w:widowControl/>
        <w:spacing w:line="380" w:lineRule="exact"/>
        <w:ind w:right="-197" w:rightChars="-94" w:firstLine="560" w:firstLineChars="200"/>
        <w:jc w:val="left"/>
        <w:rPr>
          <w:rFonts w:ascii="宋体" w:cs="宋体"/>
          <w:bCs/>
          <w:sz w:val="28"/>
          <w:szCs w:val="28"/>
        </w:rPr>
      </w:pPr>
      <w:r>
        <w:rPr>
          <w:rFonts w:hint="eastAsia" w:ascii="宋体" w:hAnsi="宋体" w:cs="宋体"/>
          <w:bCs/>
          <w:sz w:val="28"/>
          <w:szCs w:val="28"/>
        </w:rPr>
        <w:t>随着信息科技的不断发展，企业财务系统在不断升级换代，业务系统、费用管控、资金管理、影像管理、电子凭证管理等财务外围辅助系统也在日益成熟；同时，随着网络传输带宽的不断扩容，也让移动办公、异地同步处理等变得更加便捷。依托信息技术基础，财务共享服务的效能也日益凸显。财务共享服务模式的出现，促进了整个财务行业的变革创新，财务共享服务中心已经从概念变成了实践。</w:t>
      </w:r>
    </w:p>
    <w:p>
      <w:pPr>
        <w:widowControl/>
        <w:spacing w:line="380" w:lineRule="exact"/>
        <w:ind w:firstLine="281" w:firstLineChars="100"/>
        <w:jc w:val="left"/>
        <w:rPr>
          <w:rFonts w:ascii="宋体" w:cs="宋体"/>
          <w:b/>
          <w:sz w:val="28"/>
          <w:szCs w:val="28"/>
        </w:rPr>
      </w:pPr>
      <w:r>
        <w:rPr>
          <w:rFonts w:hint="eastAsia" w:ascii="宋体" w:hAnsi="宋体" w:cs="宋体"/>
          <w:b/>
          <w:sz w:val="28"/>
          <w:szCs w:val="28"/>
        </w:rPr>
        <w:t>（二）课程内容：</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财务共享服务的概念和特点及发展历程</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实施财务共享服务的收益</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财务转型与组织变革与价值提升</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财务共享服务中心的战略目标</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财务共享服务中心的流程设计与管理</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财务共享服务中心的运营管理</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财务共享服务中心的政策法规</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财务共享服务的发展与深化应用</w:t>
      </w:r>
    </w:p>
    <w:p>
      <w:pPr>
        <w:pStyle w:val="32"/>
        <w:spacing w:line="380" w:lineRule="exact"/>
        <w:ind w:firstLine="0" w:firstLineChars="0"/>
        <w:rPr>
          <w:rFonts w:ascii="宋体" w:cs="宋体"/>
          <w:b/>
          <w:bCs/>
          <w:sz w:val="28"/>
          <w:szCs w:val="28"/>
        </w:rPr>
      </w:pPr>
      <w:r>
        <w:rPr>
          <w:rFonts w:hint="eastAsia" w:ascii="宋体" w:hAnsi="宋体" w:cs="宋体"/>
          <w:b/>
          <w:sz w:val="28"/>
          <w:szCs w:val="28"/>
        </w:rPr>
        <w:t>专题十：</w:t>
      </w:r>
      <w:r>
        <w:rPr>
          <w:rFonts w:hint="eastAsia" w:ascii="宋体" w:hAnsi="宋体" w:cs="宋体"/>
          <w:b/>
          <w:bCs/>
          <w:sz w:val="28"/>
          <w:szCs w:val="28"/>
        </w:rPr>
        <w:t>财务人员法律素质提升与《民法典》权威解读</w:t>
      </w:r>
    </w:p>
    <w:p>
      <w:pPr>
        <w:pStyle w:val="32"/>
        <w:numPr>
          <w:ilvl w:val="0"/>
          <w:numId w:val="12"/>
        </w:numPr>
        <w:spacing w:line="380" w:lineRule="exact"/>
        <w:ind w:firstLine="281" w:firstLineChars="100"/>
        <w:rPr>
          <w:rFonts w:ascii="宋体" w:cs="宋体"/>
          <w:b/>
          <w:sz w:val="28"/>
          <w:szCs w:val="28"/>
        </w:rPr>
      </w:pPr>
      <w:r>
        <w:rPr>
          <w:rFonts w:hint="eastAsia" w:ascii="宋体" w:hAnsi="宋体" w:cs="宋体"/>
          <w:b/>
          <w:sz w:val="28"/>
          <w:szCs w:val="28"/>
        </w:rPr>
        <w:t>专题介绍：</w:t>
      </w:r>
    </w:p>
    <w:p>
      <w:pPr>
        <w:pStyle w:val="32"/>
        <w:spacing w:line="380" w:lineRule="exact"/>
        <w:ind w:right="-92" w:rightChars="-44" w:firstLine="560"/>
        <w:rPr>
          <w:rFonts w:ascii="宋体" w:cs="宋体"/>
          <w:b/>
          <w:sz w:val="28"/>
          <w:szCs w:val="28"/>
        </w:rPr>
      </w:pPr>
      <w:r>
        <w:rPr>
          <w:rFonts w:hint="eastAsia" w:ascii="宋体" w:hAnsi="宋体" w:cs="宋体"/>
          <w:bCs/>
          <w:sz w:val="28"/>
          <w:szCs w:val="28"/>
        </w:rPr>
        <w:t>为贯彻学习宣传《民法典》的精神</w:t>
      </w:r>
      <w:r>
        <w:rPr>
          <w:rFonts w:ascii="宋体" w:cs="宋体"/>
          <w:bCs/>
          <w:sz w:val="28"/>
          <w:szCs w:val="28"/>
        </w:rPr>
        <w:t>,</w:t>
      </w:r>
      <w:r>
        <w:rPr>
          <w:rFonts w:hint="eastAsia" w:ascii="宋体" w:hAnsi="宋体" w:cs="宋体"/>
          <w:bCs/>
          <w:sz w:val="28"/>
          <w:szCs w:val="28"/>
        </w:rPr>
        <w:t>便于社会各界尤其是政法界、实务界人士更好地了解民法典编篡的背景、意义以及正确理解</w:t>
      </w:r>
      <w:r>
        <w:rPr>
          <w:rFonts w:ascii="宋体" w:cs="宋体"/>
          <w:bCs/>
          <w:sz w:val="28"/>
          <w:szCs w:val="28"/>
        </w:rPr>
        <w:t>,</w:t>
      </w:r>
      <w:r>
        <w:rPr>
          <w:rFonts w:hint="eastAsia" w:ascii="宋体" w:hAnsi="宋体" w:cs="宋体"/>
          <w:bCs/>
          <w:sz w:val="28"/>
          <w:szCs w:val="28"/>
        </w:rPr>
        <w:t>深入解读《民法典》对民事法律行为的构成事件、行为主体要求及法律责任</w:t>
      </w:r>
      <w:r>
        <w:rPr>
          <w:rFonts w:ascii="宋体" w:cs="宋体"/>
          <w:bCs/>
          <w:sz w:val="28"/>
          <w:szCs w:val="28"/>
        </w:rPr>
        <w:t>,</w:t>
      </w:r>
      <w:r>
        <w:rPr>
          <w:rFonts w:hint="eastAsia" w:ascii="宋体" w:hAnsi="宋体" w:cs="宋体"/>
          <w:bCs/>
          <w:sz w:val="28"/>
          <w:szCs w:val="28"/>
        </w:rPr>
        <w:t>掌握《民法典》的内容、框架、结构</w:t>
      </w:r>
      <w:r>
        <w:rPr>
          <w:rFonts w:ascii="宋体" w:cs="宋体"/>
          <w:bCs/>
          <w:sz w:val="28"/>
          <w:szCs w:val="28"/>
        </w:rPr>
        <w:t>,</w:t>
      </w:r>
      <w:r>
        <w:rPr>
          <w:rFonts w:ascii="宋体" w:hAnsi="宋体" w:cs="宋体"/>
          <w:bCs/>
          <w:sz w:val="28"/>
          <w:szCs w:val="28"/>
        </w:rPr>
        <w:t xml:space="preserve"> </w:t>
      </w:r>
      <w:r>
        <w:rPr>
          <w:rFonts w:hint="eastAsia" w:ascii="宋体" w:hAnsi="宋体" w:cs="宋体"/>
          <w:bCs/>
          <w:sz w:val="28"/>
          <w:szCs w:val="28"/>
        </w:rPr>
        <w:t>帮助社会各界准确理解《中华人民共和国民法典》精神，加强社会各界对民法典学习和探讨。</w:t>
      </w:r>
    </w:p>
    <w:p>
      <w:pPr>
        <w:pStyle w:val="32"/>
        <w:spacing w:line="380" w:lineRule="exact"/>
        <w:ind w:firstLine="281" w:firstLineChars="100"/>
        <w:rPr>
          <w:rFonts w:ascii="宋体" w:cs="宋体"/>
          <w:b/>
          <w:sz w:val="28"/>
          <w:szCs w:val="28"/>
        </w:rPr>
      </w:pPr>
      <w:r>
        <w:rPr>
          <w:rFonts w:hint="eastAsia" w:ascii="宋体" w:hAnsi="宋体" w:cs="宋体"/>
          <w:b/>
          <w:sz w:val="28"/>
          <w:szCs w:val="28"/>
        </w:rPr>
        <w:t>（二）课程内容：</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民法典的概述、制定及重要意义</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民法典基本规定权威解读</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重点与法律关系及特点</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民法典的构成要件、行为主体及责任方式</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民法典调整对象的基本原则及热点难点解析</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精选的民法典案例分析以及实务操作</w:t>
      </w:r>
      <w:r>
        <w:rPr>
          <w:rFonts w:ascii="宋体" w:hAnsi="宋体" w:cs="宋体"/>
          <w:kern w:val="0"/>
          <w:sz w:val="28"/>
          <w:szCs w:val="28"/>
        </w:rPr>
        <w:t xml:space="preserve">  </w:t>
      </w:r>
    </w:p>
    <w:p>
      <w:pPr>
        <w:widowControl/>
        <w:numPr>
          <w:ilvl w:val="0"/>
          <w:numId w:val="10"/>
        </w:numPr>
        <w:spacing w:line="380" w:lineRule="exact"/>
        <w:ind w:firstLine="0"/>
        <w:jc w:val="left"/>
        <w:rPr>
          <w:rFonts w:ascii="宋体" w:cs="宋体"/>
          <w:kern w:val="0"/>
          <w:sz w:val="28"/>
          <w:szCs w:val="28"/>
        </w:rPr>
      </w:pPr>
      <w:r>
        <w:rPr>
          <w:rFonts w:hint="eastAsia" w:ascii="宋体" w:hAnsi="宋体" w:cs="宋体"/>
          <w:kern w:val="0"/>
          <w:sz w:val="28"/>
          <w:szCs w:val="28"/>
        </w:rPr>
        <w:t>民法典编撰争议问题的类型化分析</w:t>
      </w:r>
    </w:p>
    <w:p>
      <w:pPr>
        <w:widowControl/>
        <w:spacing w:line="400" w:lineRule="exact"/>
        <w:ind w:left="0" w:leftChars="-300" w:hanging="630" w:hangingChars="212"/>
        <w:rPr>
          <w:rFonts w:ascii="宋体" w:cs="宋体"/>
          <w:b/>
          <w:bCs w:val="0"/>
          <w:kern w:val="0"/>
          <w:sz w:val="28"/>
          <w:szCs w:val="28"/>
        </w:rPr>
      </w:pPr>
      <w:r>
        <w:rPr>
          <w:rFonts w:hint="eastAsia" w:ascii="宋体" w:hAnsi="宋体" w:cs="宋体"/>
          <w:b/>
          <w:bCs w:val="0"/>
          <w:spacing w:val="8"/>
          <w:kern w:val="1"/>
          <w:sz w:val="28"/>
          <w:szCs w:val="28"/>
        </w:rPr>
        <w:t>附件</w:t>
      </w:r>
      <w:r>
        <w:rPr>
          <w:rFonts w:ascii="宋体" w:hAnsi="宋体" w:cs="宋体"/>
          <w:b/>
          <w:bCs w:val="0"/>
          <w:spacing w:val="8"/>
          <w:kern w:val="1"/>
          <w:sz w:val="28"/>
          <w:szCs w:val="28"/>
        </w:rPr>
        <w:t>3</w:t>
      </w:r>
      <w:r>
        <w:rPr>
          <w:rFonts w:hint="eastAsia" w:ascii="宋体" w:hAnsi="宋体" w:cs="宋体"/>
          <w:b/>
          <w:bCs w:val="0"/>
          <w:spacing w:val="8"/>
          <w:kern w:val="1"/>
          <w:sz w:val="28"/>
          <w:szCs w:val="28"/>
        </w:rPr>
        <w:t>：</w:t>
      </w:r>
    </w:p>
    <w:p>
      <w:pPr>
        <w:spacing w:line="460" w:lineRule="exact"/>
        <w:ind w:firstLine="281" w:firstLineChars="100"/>
        <w:rPr>
          <w:rFonts w:ascii="宋体" w:cs="宋体"/>
          <w:b/>
          <w:bCs/>
          <w:sz w:val="28"/>
          <w:szCs w:val="28"/>
        </w:rPr>
      </w:pPr>
      <w:r>
        <w:rPr>
          <w:rFonts w:hint="eastAsia" w:ascii="宋体" w:hAnsi="宋体" w:cs="宋体"/>
          <w:b/>
          <w:bCs/>
          <w:sz w:val="28"/>
          <w:szCs w:val="28"/>
        </w:rPr>
        <w:t>新时代财务管理人员实务操作与素质提升系列培训班报名回执表</w:t>
      </w:r>
    </w:p>
    <w:tbl>
      <w:tblPr>
        <w:tblStyle w:val="13"/>
        <w:tblpPr w:leftFromText="180" w:rightFromText="180" w:vertAnchor="text" w:horzAnchor="margin" w:tblpXSpec="center" w:tblpY="275"/>
        <w:tblW w:w="11198" w:type="dxa"/>
        <w:tblInd w:w="0" w:type="dxa"/>
        <w:tblLayout w:type="fixed"/>
        <w:tblCellMar>
          <w:top w:w="0" w:type="dxa"/>
          <w:left w:w="10" w:type="dxa"/>
          <w:bottom w:w="0" w:type="dxa"/>
          <w:right w:w="10" w:type="dxa"/>
        </w:tblCellMar>
      </w:tblPr>
      <w:tblGrid>
        <w:gridCol w:w="1379"/>
        <w:gridCol w:w="745"/>
        <w:gridCol w:w="774"/>
        <w:gridCol w:w="1591"/>
        <w:gridCol w:w="1260"/>
        <w:gridCol w:w="682"/>
        <w:gridCol w:w="678"/>
        <w:gridCol w:w="1583"/>
        <w:gridCol w:w="517"/>
        <w:gridCol w:w="1989"/>
      </w:tblGrid>
      <w:tr>
        <w:tblPrEx>
          <w:tblCellMar>
            <w:top w:w="0" w:type="dxa"/>
            <w:left w:w="10" w:type="dxa"/>
            <w:bottom w:w="0" w:type="dxa"/>
            <w:right w:w="10" w:type="dxa"/>
          </w:tblCellMar>
        </w:tblPrEx>
        <w:trPr>
          <w:trHeight w:val="589"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sz w:val="24"/>
              </w:rPr>
            </w:pPr>
            <w:r>
              <w:rPr>
                <w:rFonts w:hint="eastAsia" w:ascii="宋体" w:hAnsi="宋体" w:cs="宋体"/>
                <w:b/>
                <w:sz w:val="24"/>
              </w:rPr>
              <w:t>单位名称</w:t>
            </w:r>
          </w:p>
          <w:p>
            <w:pPr>
              <w:widowControl/>
              <w:spacing w:after="156" w:line="360" w:lineRule="exact"/>
              <w:ind w:firstLine="300"/>
              <w:jc w:val="center"/>
              <w:rPr>
                <w:rFonts w:ascii="宋体" w:cs="宋体"/>
                <w:b/>
                <w:sz w:val="24"/>
              </w:rPr>
            </w:pPr>
          </w:p>
          <w:p>
            <w:pPr>
              <w:widowControl/>
              <w:spacing w:after="156" w:line="360" w:lineRule="exact"/>
              <w:ind w:firstLine="300"/>
              <w:jc w:val="center"/>
              <w:rPr>
                <w:rFonts w:ascii="宋体" w:cs="宋体"/>
                <w:b/>
                <w:sz w:val="24"/>
              </w:rPr>
            </w:pPr>
          </w:p>
        </w:tc>
        <w:tc>
          <w:tcPr>
            <w:tcW w:w="505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center"/>
              <w:rPr>
                <w:rFonts w:ascii="宋体" w:cs="宋体"/>
                <w:b/>
                <w:sz w:val="24"/>
              </w:rPr>
            </w:pPr>
          </w:p>
        </w:tc>
        <w:tc>
          <w:tcPr>
            <w:tcW w:w="2261"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宋体" w:cs="宋体"/>
                <w:b/>
                <w:bCs/>
                <w:sz w:val="24"/>
              </w:rPr>
            </w:pPr>
            <w:r>
              <w:rPr>
                <w:rFonts w:hint="eastAsia" w:ascii="宋体" w:hAnsi="宋体" w:cs="宋体"/>
                <w:b/>
                <w:bCs/>
                <w:sz w:val="24"/>
              </w:rPr>
              <w:t>传　真</w:t>
            </w:r>
          </w:p>
        </w:tc>
        <w:tc>
          <w:tcPr>
            <w:tcW w:w="250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39" w:leftChars="114" w:firstLine="567"/>
              <w:rPr>
                <w:rFonts w:ascii="宋体" w:cs="宋体"/>
                <w:b/>
                <w:sz w:val="24"/>
              </w:rPr>
            </w:pPr>
          </w:p>
        </w:tc>
      </w:tr>
      <w:tr>
        <w:tblPrEx>
          <w:tblCellMar>
            <w:top w:w="0" w:type="dxa"/>
            <w:left w:w="10" w:type="dxa"/>
            <w:bottom w:w="0" w:type="dxa"/>
            <w:right w:w="10" w:type="dxa"/>
          </w:tblCellMar>
        </w:tblPrEx>
        <w:trPr>
          <w:trHeight w:val="655"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通讯地址</w:t>
            </w:r>
          </w:p>
        </w:tc>
        <w:tc>
          <w:tcPr>
            <w:tcW w:w="9819" w:type="dxa"/>
            <w:gridSpan w:val="9"/>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宋体" w:cs="宋体"/>
                <w:b/>
                <w:sz w:val="24"/>
              </w:rPr>
            </w:pPr>
          </w:p>
        </w:tc>
      </w:tr>
      <w:tr>
        <w:tblPrEx>
          <w:tblCellMar>
            <w:top w:w="0" w:type="dxa"/>
            <w:left w:w="10" w:type="dxa"/>
            <w:bottom w:w="0" w:type="dxa"/>
            <w:right w:w="10" w:type="dxa"/>
          </w:tblCellMar>
        </w:tblPrEx>
        <w:trPr>
          <w:trHeight w:val="59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联系人</w:t>
            </w:r>
          </w:p>
        </w:tc>
        <w:tc>
          <w:tcPr>
            <w:tcW w:w="31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center"/>
              <w:rPr>
                <w:rFonts w:ascii="宋体" w:cs="宋体"/>
                <w:b/>
                <w:bCs/>
                <w:sz w:val="24"/>
              </w:rPr>
            </w:pPr>
          </w:p>
        </w:tc>
        <w:tc>
          <w:tcPr>
            <w:tcW w:w="126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联系方式</w:t>
            </w:r>
          </w:p>
        </w:tc>
        <w:tc>
          <w:tcPr>
            <w:tcW w:w="544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宋体" w:cs="宋体"/>
                <w:b/>
                <w:sz w:val="24"/>
              </w:rPr>
            </w:pPr>
          </w:p>
        </w:tc>
      </w:tr>
      <w:tr>
        <w:tblPrEx>
          <w:tblCellMar>
            <w:top w:w="0" w:type="dxa"/>
            <w:left w:w="10" w:type="dxa"/>
            <w:bottom w:w="0" w:type="dxa"/>
            <w:right w:w="10" w:type="dxa"/>
          </w:tblCellMar>
        </w:tblPrEx>
        <w:trPr>
          <w:trHeight w:val="627"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学员姓名</w:t>
            </w: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性别</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职务</w:t>
            </w: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手机号码</w:t>
            </w:r>
          </w:p>
        </w:tc>
        <w:tc>
          <w:tcPr>
            <w:tcW w:w="126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cs="宋体"/>
                <w:b/>
                <w:bCs/>
                <w:sz w:val="24"/>
              </w:rPr>
            </w:pPr>
            <w:r>
              <w:rPr>
                <w:rFonts w:hint="eastAsia" w:ascii="宋体" w:hAnsi="宋体" w:cs="宋体"/>
                <w:b/>
                <w:bCs/>
                <w:sz w:val="24"/>
              </w:rPr>
              <w:t>联系电话</w:t>
            </w:r>
          </w:p>
        </w:tc>
        <w:tc>
          <w:tcPr>
            <w:tcW w:w="136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宋体" w:cs="宋体"/>
                <w:b/>
                <w:bCs/>
                <w:sz w:val="24"/>
              </w:rPr>
            </w:pPr>
            <w:r>
              <w:rPr>
                <w:rFonts w:hint="eastAsia" w:ascii="宋体" w:hAnsi="宋体" w:cs="宋体"/>
                <w:b/>
                <w:bCs/>
                <w:sz w:val="24"/>
              </w:rPr>
              <w:t>电子邮箱</w:t>
            </w:r>
          </w:p>
        </w:tc>
        <w:tc>
          <w:tcPr>
            <w:tcW w:w="210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30" w:rightChars="62"/>
              <w:jc w:val="center"/>
              <w:rPr>
                <w:rFonts w:ascii="宋体" w:cs="宋体"/>
                <w:b/>
                <w:bCs/>
                <w:sz w:val="24"/>
              </w:rPr>
            </w:pPr>
            <w:r>
              <w:rPr>
                <w:rFonts w:hint="eastAsia" w:ascii="宋体" w:hAnsi="宋体" w:cs="宋体"/>
                <w:b/>
                <w:bCs/>
                <w:sz w:val="24"/>
              </w:rPr>
              <w:t>培训时间、地点</w:t>
            </w:r>
          </w:p>
        </w:tc>
        <w:tc>
          <w:tcPr>
            <w:tcW w:w="1989" w:type="dxa"/>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rPr>
                <w:rFonts w:ascii="宋体" w:cs="宋体"/>
                <w:b/>
                <w:bCs/>
                <w:sz w:val="24"/>
              </w:rPr>
            </w:pPr>
            <w:r>
              <w:rPr>
                <w:rFonts w:hint="eastAsia" w:ascii="宋体" w:hAnsi="宋体" w:cs="宋体"/>
                <w:b/>
                <w:bCs/>
                <w:sz w:val="24"/>
              </w:rPr>
              <w:t>住宿标准</w:t>
            </w:r>
            <w:r>
              <w:rPr>
                <w:rFonts w:ascii="宋体" w:hAnsi="宋体" w:cs="宋体"/>
                <w:b/>
                <w:bCs/>
                <w:sz w:val="24"/>
              </w:rPr>
              <w:t>(</w:t>
            </w:r>
            <w:r>
              <w:rPr>
                <w:rFonts w:hint="eastAsia" w:ascii="宋体" w:hAnsi="宋体" w:cs="宋体"/>
                <w:b/>
                <w:bCs/>
                <w:sz w:val="24"/>
              </w:rPr>
              <w:t>打勾</w:t>
            </w:r>
            <w:r>
              <w:rPr>
                <w:rFonts w:ascii="宋体" w:hAnsi="宋体" w:cs="宋体"/>
                <w:b/>
                <w:bCs/>
                <w:sz w:val="24"/>
              </w:rPr>
              <w:t>)</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hint="eastAsia" w:ascii="宋体" w:hAns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bCs/>
                <w:sz w:val="24"/>
              </w:rPr>
            </w:pPr>
            <w:r>
              <w:rPr>
                <w:rFonts w:hint="eastAsia" w:ascii="宋体" w:hAnsi="宋体" w:cs="宋体"/>
                <w:b/>
                <w:bCs/>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3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jc w:val="left"/>
              <w:rPr>
                <w:rFonts w:ascii="宋体" w:cs="宋体"/>
                <w:b/>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left"/>
              <w:rPr>
                <w:rFonts w:ascii="宋体" w:cs="宋体"/>
                <w:b/>
                <w:sz w:val="30"/>
                <w:szCs w:val="30"/>
              </w:rPr>
            </w:pPr>
            <w:r>
              <w:rPr>
                <w:rFonts w:hint="eastAsia" w:ascii="宋体" w:hAnsi="宋体" w:cs="宋体"/>
                <w:b/>
                <w:bCs/>
                <w:sz w:val="24"/>
              </w:rPr>
              <w:t>单住□合住□</w:t>
            </w:r>
          </w:p>
        </w:tc>
      </w:tr>
      <w:tr>
        <w:tblPrEx>
          <w:tblCellMar>
            <w:top w:w="0" w:type="dxa"/>
            <w:left w:w="10" w:type="dxa"/>
            <w:bottom w:w="0" w:type="dxa"/>
            <w:right w:w="10" w:type="dxa"/>
          </w:tblCellMar>
        </w:tblPrEx>
        <w:trPr>
          <w:trHeight w:val="1649" w:hRule="exac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6"/>
              <w:widowControl/>
              <w:snapToGrid w:val="0"/>
              <w:spacing w:line="400" w:lineRule="exact"/>
              <w:jc w:val="left"/>
              <w:rPr>
                <w:rFonts w:ascii="宋体" w:cs="宋体"/>
                <w:b/>
                <w:kern w:val="1"/>
                <w:sz w:val="24"/>
              </w:rPr>
            </w:pPr>
            <w:r>
              <w:rPr>
                <w:rFonts w:hint="eastAsia" w:ascii="宋体" w:hAnsi="宋体" w:cs="宋体"/>
                <w:b/>
                <w:kern w:val="1"/>
                <w:sz w:val="24"/>
              </w:rPr>
              <w:t>请将培训费汇至以下账号：</w:t>
            </w:r>
          </w:p>
          <w:p>
            <w:pPr>
              <w:pStyle w:val="36"/>
              <w:widowControl/>
              <w:snapToGrid w:val="0"/>
              <w:spacing w:line="400" w:lineRule="exact"/>
              <w:jc w:val="left"/>
              <w:rPr>
                <w:rFonts w:ascii="宋体" w:cs="宋体"/>
                <w:b/>
                <w:kern w:val="1"/>
                <w:sz w:val="24"/>
              </w:rPr>
            </w:pPr>
            <w:r>
              <w:rPr>
                <w:rFonts w:hint="eastAsia" w:ascii="宋体" w:hAnsi="宋体" w:cs="宋体"/>
                <w:b/>
                <w:kern w:val="1"/>
                <w:sz w:val="24"/>
              </w:rPr>
              <w:t>开户名：北京华夏星源国际文化传播有限公司</w:t>
            </w:r>
          </w:p>
          <w:p>
            <w:pPr>
              <w:pStyle w:val="36"/>
              <w:widowControl/>
              <w:snapToGrid w:val="0"/>
              <w:spacing w:line="400" w:lineRule="exact"/>
              <w:jc w:val="left"/>
              <w:rPr>
                <w:rFonts w:ascii="宋体" w:cs="宋体"/>
                <w:b/>
                <w:kern w:val="1"/>
                <w:sz w:val="24"/>
              </w:rPr>
            </w:pPr>
            <w:r>
              <w:rPr>
                <w:rFonts w:hint="eastAsia" w:ascii="宋体" w:hAnsi="宋体" w:cs="宋体"/>
                <w:b/>
                <w:kern w:val="1"/>
                <w:sz w:val="24"/>
              </w:rPr>
              <w:t>账</w:t>
            </w:r>
            <w:r>
              <w:rPr>
                <w:rFonts w:ascii="宋体" w:hAnsi="宋体" w:cs="宋体"/>
                <w:b/>
                <w:kern w:val="1"/>
                <w:sz w:val="24"/>
              </w:rPr>
              <w:t xml:space="preserve">  </w:t>
            </w:r>
            <w:r>
              <w:rPr>
                <w:rFonts w:hint="eastAsia" w:ascii="宋体" w:hAnsi="宋体" w:cs="宋体"/>
                <w:b/>
                <w:kern w:val="1"/>
                <w:sz w:val="24"/>
              </w:rPr>
              <w:t>号：</w:t>
            </w:r>
            <w:r>
              <w:rPr>
                <w:rFonts w:ascii="宋体" w:hAnsi="宋体" w:cs="宋体"/>
                <w:b/>
                <w:kern w:val="1"/>
                <w:sz w:val="24"/>
              </w:rPr>
              <w:t>0109 0308 7001 2010 8782 728</w:t>
            </w:r>
          </w:p>
          <w:p>
            <w:pPr>
              <w:widowControl/>
              <w:spacing w:after="156" w:line="360" w:lineRule="exact"/>
              <w:jc w:val="left"/>
              <w:rPr>
                <w:rFonts w:ascii="宋体" w:cs="宋体"/>
                <w:sz w:val="24"/>
              </w:rPr>
            </w:pPr>
            <w:r>
              <w:rPr>
                <w:rFonts w:hint="eastAsia" w:ascii="宋体" w:hAnsi="宋体" w:cs="宋体"/>
                <w:b/>
                <w:kern w:val="1"/>
                <w:sz w:val="24"/>
              </w:rPr>
              <w:t>开户行：北京银行金台路支行</w:t>
            </w:r>
          </w:p>
        </w:tc>
      </w:tr>
      <w:tr>
        <w:tblPrEx>
          <w:tblCellMar>
            <w:top w:w="0" w:type="dxa"/>
            <w:left w:w="10" w:type="dxa"/>
            <w:bottom w:w="0" w:type="dxa"/>
            <w:right w:w="10" w:type="dxa"/>
          </w:tblCellMar>
        </w:tblPrEx>
        <w:trPr>
          <w:trHeight w:val="1168" w:hRule="atLeas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after="100" w:line="400" w:lineRule="exact"/>
              <w:jc w:val="left"/>
              <w:rPr>
                <w:rFonts w:hint="eastAsia" w:ascii="微软雅黑" w:hAnsi="微软雅黑" w:eastAsia="微软雅黑" w:cs="微软雅黑"/>
                <w:b/>
                <w:spacing w:val="-4"/>
                <w:kern w:val="32"/>
                <w:sz w:val="28"/>
                <w:szCs w:val="28"/>
              </w:rPr>
            </w:pPr>
            <w:r>
              <w:rPr>
                <w:rFonts w:hint="eastAsia" w:ascii="微软雅黑" w:hAnsi="微软雅黑" w:eastAsia="微软雅黑" w:cs="微软雅黑"/>
                <w:b/>
                <w:spacing w:val="-4"/>
                <w:kern w:val="32"/>
                <w:sz w:val="28"/>
                <w:szCs w:val="28"/>
              </w:rPr>
              <w:t>报名</w:t>
            </w:r>
            <w:r>
              <w:rPr>
                <w:rFonts w:hint="eastAsia" w:ascii="微软雅黑" w:hAnsi="微软雅黑" w:eastAsia="微软雅黑" w:cs="微软雅黑"/>
                <w:b/>
                <w:sz w:val="28"/>
                <w:szCs w:val="28"/>
                <w:lang w:eastAsia="zh-CN"/>
              </w:rPr>
              <w:t>负责人</w:t>
            </w:r>
            <w:r>
              <w:rPr>
                <w:rFonts w:hint="eastAsia" w:ascii="微软雅黑" w:hAnsi="微软雅黑" w:eastAsia="微软雅黑" w:cs="微软雅黑"/>
                <w:b/>
                <w:spacing w:val="-4"/>
                <w:kern w:val="32"/>
                <w:sz w:val="28"/>
                <w:szCs w:val="28"/>
              </w:rPr>
              <w:t>：</w:t>
            </w:r>
            <w:r>
              <w:rPr>
                <w:rFonts w:hint="eastAsia" w:ascii="微软雅黑" w:hAnsi="微软雅黑" w:eastAsia="微软雅黑" w:cs="微软雅黑"/>
                <w:b/>
                <w:spacing w:val="-4"/>
                <w:kern w:val="32"/>
                <w:sz w:val="28"/>
                <w:szCs w:val="28"/>
                <w:lang w:eastAsia="zh-CN"/>
              </w:rPr>
              <w:t>冷静</w:t>
            </w:r>
            <w:r>
              <w:rPr>
                <w:rFonts w:hint="eastAsia" w:ascii="微软雅黑" w:hAnsi="微软雅黑" w:eastAsia="微软雅黑" w:cs="微软雅黑"/>
                <w:b/>
                <w:spacing w:val="-4"/>
                <w:kern w:val="32"/>
                <w:sz w:val="28"/>
                <w:szCs w:val="28"/>
                <w:lang w:val="en-US" w:eastAsia="zh-CN"/>
              </w:rPr>
              <w:t xml:space="preserve">   </w:t>
            </w:r>
            <w:r>
              <w:rPr>
                <w:rFonts w:hint="eastAsia" w:ascii="微软雅黑" w:hAnsi="微软雅黑" w:eastAsia="微软雅黑" w:cs="微软雅黑"/>
                <w:b/>
                <w:spacing w:val="-4"/>
                <w:kern w:val="32"/>
                <w:sz w:val="28"/>
                <w:szCs w:val="28"/>
                <w:lang w:eastAsia="zh-CN"/>
              </w:rPr>
              <w:t>手机</w:t>
            </w:r>
            <w:r>
              <w:rPr>
                <w:rFonts w:hint="eastAsia" w:ascii="微软雅黑" w:hAnsi="微软雅黑" w:eastAsia="微软雅黑" w:cs="微软雅黑"/>
                <w:b/>
                <w:spacing w:val="-4"/>
                <w:kern w:val="32"/>
                <w:sz w:val="28"/>
                <w:szCs w:val="28"/>
                <w:lang w:val="en-US" w:eastAsia="zh-CN"/>
              </w:rPr>
              <w:t xml:space="preserve"> 13701382950</w:t>
            </w:r>
            <w:r>
              <w:rPr>
                <w:rFonts w:hint="eastAsia" w:ascii="微软雅黑" w:hAnsi="微软雅黑" w:eastAsia="微软雅黑" w:cs="微软雅黑"/>
                <w:b/>
                <w:color w:val="auto"/>
                <w:sz w:val="28"/>
                <w:szCs w:val="28"/>
                <w:lang w:val="en-US" w:eastAsia="zh-CN"/>
              </w:rPr>
              <w:t>（</w:t>
            </w:r>
            <w:r>
              <w:rPr>
                <w:rFonts w:hint="eastAsia" w:ascii="微软雅黑" w:hAnsi="微软雅黑" w:eastAsia="微软雅黑" w:cs="微软雅黑"/>
                <w:b/>
                <w:color w:val="auto"/>
                <w:spacing w:val="-4"/>
                <w:kern w:val="32"/>
                <w:sz w:val="28"/>
                <w:szCs w:val="28"/>
                <w:lang w:val="en-US"/>
              </w:rPr>
              <w:t>微信</w:t>
            </w:r>
            <w:r>
              <w:rPr>
                <w:rFonts w:hint="eastAsia" w:ascii="微软雅黑" w:hAnsi="微软雅黑" w:eastAsia="微软雅黑" w:cs="微软雅黑"/>
                <w:b/>
                <w:color w:val="auto"/>
                <w:spacing w:val="-4"/>
                <w:kern w:val="32"/>
                <w:sz w:val="28"/>
                <w:szCs w:val="28"/>
                <w:lang w:val="en-US" w:eastAsia="zh-CN"/>
              </w:rPr>
              <w:t>同号</w:t>
            </w:r>
            <w:r>
              <w:rPr>
                <w:rFonts w:hint="eastAsia" w:ascii="微软雅黑" w:hAnsi="微软雅黑" w:eastAsia="微软雅黑" w:cs="微软雅黑"/>
                <w:b/>
                <w:color w:val="auto"/>
                <w:sz w:val="28"/>
                <w:szCs w:val="28"/>
                <w:lang w:eastAsia="zh-CN"/>
              </w:rPr>
              <w:t>、</w:t>
            </w:r>
            <w:r>
              <w:rPr>
                <w:rFonts w:hint="eastAsia" w:ascii="微软雅黑" w:hAnsi="微软雅黑" w:eastAsia="微软雅黑" w:cs="微软雅黑"/>
                <w:b/>
                <w:color w:val="auto"/>
                <w:sz w:val="28"/>
                <w:szCs w:val="28"/>
              </w:rPr>
              <w:t>接受短信报名）</w:t>
            </w:r>
          </w:p>
          <w:p>
            <w:pPr>
              <w:widowControl/>
              <w:spacing w:before="156" w:after="156" w:line="360" w:lineRule="exact"/>
              <w:jc w:val="left"/>
              <w:rPr>
                <w:rFonts w:hint="default" w:ascii="宋体" w:cs="宋体"/>
                <w:bCs/>
                <w:sz w:val="24"/>
                <w:lang w:val="en-US"/>
              </w:rPr>
            </w:pPr>
            <w:r>
              <w:rPr>
                <w:rFonts w:hint="eastAsia" w:ascii="微软雅黑" w:hAnsi="微软雅黑" w:eastAsia="微软雅黑" w:cs="微软雅黑"/>
                <w:b/>
                <w:spacing w:val="-4"/>
                <w:kern w:val="32"/>
                <w:sz w:val="28"/>
                <w:szCs w:val="28"/>
              </w:rPr>
              <w:t>报名邮箱：</w:t>
            </w:r>
            <w:r>
              <w:rPr>
                <w:rFonts w:hint="eastAsia" w:ascii="微软雅黑" w:hAnsi="微软雅黑" w:eastAsia="微软雅黑" w:cs="微软雅黑"/>
                <w:b/>
                <w:spacing w:val="-4"/>
                <w:kern w:val="32"/>
                <w:sz w:val="28"/>
                <w:szCs w:val="28"/>
                <w:lang w:val="en-US" w:eastAsia="zh-CN"/>
              </w:rPr>
              <w:t>3555825206@</w:t>
            </w:r>
            <w:r>
              <w:rPr>
                <w:rFonts w:hint="eastAsia" w:ascii="微软雅黑" w:hAnsi="微软雅黑" w:eastAsia="微软雅黑" w:cs="微软雅黑"/>
                <w:b/>
                <w:spacing w:val="-4"/>
                <w:kern w:val="32"/>
                <w:sz w:val="28"/>
                <w:szCs w:val="28"/>
              </w:rPr>
              <w:t>qq.com</w:t>
            </w:r>
            <w:r>
              <w:rPr>
                <w:rFonts w:hint="eastAsia" w:ascii="微软雅黑" w:hAnsi="微软雅黑" w:eastAsia="微软雅黑" w:cs="微软雅黑"/>
                <w:b/>
                <w:spacing w:val="-4"/>
                <w:kern w:val="32"/>
                <w:sz w:val="28"/>
                <w:szCs w:val="28"/>
                <w:lang w:eastAsia="zh-CN"/>
              </w:rPr>
              <w:t>（欢迎您</w:t>
            </w:r>
            <w:r>
              <w:rPr>
                <w:rFonts w:hint="eastAsia" w:ascii="微软雅黑" w:hAnsi="微软雅黑" w:eastAsia="微软雅黑" w:cs="微软雅黑"/>
                <w:b/>
                <w:spacing w:val="-4"/>
                <w:kern w:val="32"/>
                <w:sz w:val="28"/>
                <w:szCs w:val="28"/>
              </w:rPr>
              <w:t>在线咨询</w:t>
            </w:r>
            <w:r>
              <w:rPr>
                <w:rFonts w:hint="eastAsia" w:ascii="微软雅黑" w:hAnsi="微软雅黑" w:eastAsia="微软雅黑" w:cs="微软雅黑"/>
                <w:b/>
                <w:spacing w:val="-4"/>
                <w:kern w:val="32"/>
                <w:sz w:val="28"/>
                <w:szCs w:val="28"/>
                <w:lang w:eastAsia="zh-CN"/>
              </w:rPr>
              <w:t>）</w:t>
            </w:r>
          </w:p>
        </w:tc>
      </w:tr>
    </w:tbl>
    <w:p>
      <w:pPr>
        <w:spacing w:after="156" w:line="300" w:lineRule="exact"/>
        <w:rPr>
          <w:rFonts w:ascii="宋体" w:cs="宋体"/>
          <w:b/>
          <w:sz w:val="24"/>
        </w:rPr>
      </w:pPr>
      <w:r>
        <w:rPr>
          <w:rFonts w:hint="eastAsia" w:ascii="宋体" w:hAnsi="宋体" w:cs="宋体"/>
          <w:b/>
          <w:bCs/>
          <w:sz w:val="24"/>
        </w:rPr>
        <w:t>注：</w:t>
      </w:r>
      <w:r>
        <w:rPr>
          <w:rFonts w:ascii="宋体" w:hAnsi="宋体" w:cs="宋体"/>
          <w:b/>
          <w:bCs/>
          <w:sz w:val="24"/>
        </w:rPr>
        <w:t>1</w:t>
      </w:r>
      <w:r>
        <w:rPr>
          <w:rFonts w:hint="eastAsia" w:ascii="宋体" w:hAnsi="宋体" w:cs="宋体"/>
          <w:b/>
          <w:bCs/>
          <w:sz w:val="24"/>
        </w:rPr>
        <w:t>、</w:t>
      </w:r>
      <w:r>
        <w:rPr>
          <w:rFonts w:hint="eastAsia" w:ascii="宋体" w:hAnsi="宋体" w:cs="宋体"/>
          <w:b/>
          <w:sz w:val="24"/>
        </w:rPr>
        <w:t>本回执表可复制；</w:t>
      </w:r>
    </w:p>
    <w:p>
      <w:pPr>
        <w:numPr>
          <w:ilvl w:val="0"/>
          <w:numId w:val="13"/>
        </w:numPr>
        <w:spacing w:after="156" w:line="280" w:lineRule="exact"/>
        <w:ind w:left="842" w:leftChars="229" w:hanging="361" w:hangingChars="150"/>
        <w:rPr>
          <w:rFonts w:ascii="宋体" w:cs="宋体"/>
          <w:b/>
          <w:sz w:val="24"/>
        </w:rPr>
      </w:pPr>
      <w:r>
        <w:rPr>
          <w:rFonts w:hint="eastAsia" w:ascii="宋体" w:hAnsi="宋体" w:cs="宋体"/>
          <w:b/>
          <w:sz w:val="24"/>
        </w:rPr>
        <w:t>请将参训姓名、时间、地点填入相应的空栏里</w:t>
      </w:r>
      <w:r>
        <w:rPr>
          <w:rFonts w:hint="eastAsia" w:ascii="宋体" w:hAnsi="宋体" w:cs="宋体"/>
          <w:b/>
          <w:sz w:val="24"/>
          <w:lang w:eastAsia="zh-CN"/>
        </w:rPr>
        <w:t>。</w:t>
      </w:r>
    </w:p>
    <w:p>
      <w:pPr>
        <w:numPr>
          <w:ilvl w:val="0"/>
          <w:numId w:val="13"/>
        </w:numPr>
        <w:spacing w:after="156" w:line="280" w:lineRule="exact"/>
        <w:ind w:left="842" w:leftChars="229" w:hanging="361" w:hangingChars="150"/>
        <w:rPr>
          <w:rFonts w:ascii="宋体" w:cs="宋体"/>
          <w:b/>
          <w:sz w:val="24"/>
        </w:rPr>
      </w:pPr>
      <w:r>
        <w:rPr>
          <w:rFonts w:hint="eastAsia" w:ascii="宋体" w:hAnsi="宋体" w:cs="宋体"/>
          <w:b/>
          <w:sz w:val="24"/>
        </w:rPr>
        <w:t>表中“合住”为</w:t>
      </w:r>
      <w:r>
        <w:rPr>
          <w:rFonts w:ascii="宋体" w:hAnsi="宋体" w:cs="宋体"/>
          <w:b/>
          <w:sz w:val="24"/>
        </w:rPr>
        <w:t>2</w:t>
      </w:r>
      <w:r>
        <w:rPr>
          <w:rFonts w:hint="eastAsia" w:ascii="宋体" w:hAnsi="宋体" w:cs="宋体"/>
          <w:b/>
          <w:sz w:val="24"/>
        </w:rPr>
        <w:t>人合住。</w:t>
      </w: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4"/>
        <w:szCs w:val="24"/>
      </w:rPr>
    </w:pPr>
    <w:r>
      <w:rPr>
        <w:rFonts w:hint="eastAsia"/>
        <w:sz w:val="24"/>
        <w:szCs w:val="21"/>
      </w:rPr>
      <w:t>第</w:t>
    </w:r>
    <w:r>
      <w:rPr>
        <w:sz w:val="24"/>
        <w:szCs w:val="21"/>
      </w:rPr>
      <w:t xml:space="preserve"> </w:t>
    </w:r>
    <w:r>
      <w:rPr>
        <w:sz w:val="24"/>
        <w:szCs w:val="21"/>
      </w:rPr>
      <w:fldChar w:fldCharType="begin"/>
    </w:r>
    <w:r>
      <w:rPr>
        <w:sz w:val="24"/>
        <w:szCs w:val="21"/>
      </w:rPr>
      <w:instrText xml:space="preserve"> PAGE </w:instrText>
    </w:r>
    <w:r>
      <w:rPr>
        <w:sz w:val="24"/>
        <w:szCs w:val="21"/>
      </w:rPr>
      <w:fldChar w:fldCharType="separate"/>
    </w:r>
    <w:r>
      <w:rPr>
        <w:sz w:val="24"/>
        <w:szCs w:val="21"/>
      </w:rPr>
      <w:t>10</w:t>
    </w:r>
    <w:r>
      <w:rPr>
        <w:sz w:val="24"/>
        <w:szCs w:val="21"/>
      </w:rPr>
      <w:fldChar w:fldCharType="end"/>
    </w:r>
    <w:r>
      <w:rPr>
        <w:sz w:val="24"/>
        <w:szCs w:val="21"/>
      </w:rPr>
      <w:t xml:space="preserve"> </w:t>
    </w:r>
    <w:r>
      <w:rPr>
        <w:rFonts w:hint="eastAsia"/>
        <w:sz w:val="24"/>
        <w:szCs w:val="21"/>
      </w:rPr>
      <w:t>页</w:t>
    </w:r>
    <w:r>
      <w:rPr>
        <w:sz w:val="24"/>
        <w:szCs w:val="21"/>
      </w:rPr>
      <w:t xml:space="preserve"> </w:t>
    </w:r>
    <w:r>
      <w:rPr>
        <w:rFonts w:hint="eastAsia"/>
        <w:sz w:val="24"/>
        <w:szCs w:val="21"/>
      </w:rPr>
      <w:t>共</w:t>
    </w:r>
    <w:r>
      <w:rPr>
        <w:sz w:val="24"/>
        <w:szCs w:val="21"/>
      </w:rPr>
      <w:t xml:space="preserve"> </w:t>
    </w:r>
    <w:r>
      <w:rPr>
        <w:sz w:val="24"/>
        <w:szCs w:val="21"/>
      </w:rPr>
      <w:fldChar w:fldCharType="begin"/>
    </w:r>
    <w:r>
      <w:rPr>
        <w:sz w:val="24"/>
        <w:szCs w:val="21"/>
      </w:rPr>
      <w:instrText xml:space="preserve"> NUMPAGES </w:instrText>
    </w:r>
    <w:r>
      <w:rPr>
        <w:sz w:val="24"/>
        <w:szCs w:val="21"/>
      </w:rPr>
      <w:fldChar w:fldCharType="separate"/>
    </w:r>
    <w:r>
      <w:rPr>
        <w:sz w:val="24"/>
        <w:szCs w:val="21"/>
      </w:rPr>
      <w:t>10</w:t>
    </w:r>
    <w:r>
      <w:rPr>
        <w:sz w:val="24"/>
        <w:szCs w:val="21"/>
      </w:rPr>
      <w:fldChar w:fldCharType="end"/>
    </w:r>
    <w:r>
      <w:rPr>
        <w:sz w:val="24"/>
        <w:szCs w:val="21"/>
      </w:rPr>
      <w:t xml:space="preserve"> </w:t>
    </w:r>
    <w:r>
      <w:rPr>
        <w:rFonts w:hint="eastAsia"/>
        <w:sz w:val="24"/>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C922F"/>
    <w:multiLevelType w:val="singleLevel"/>
    <w:tmpl w:val="A7BC922F"/>
    <w:lvl w:ilvl="0" w:tentative="0">
      <w:start w:val="1"/>
      <w:numFmt w:val="chineseCounting"/>
      <w:suff w:val="nothing"/>
      <w:lvlText w:val="（%1）"/>
      <w:lvlJc w:val="left"/>
      <w:pPr>
        <w:ind w:left="469"/>
      </w:pPr>
      <w:rPr>
        <w:rFonts w:hint="eastAsia" w:cs="Times New Roman"/>
      </w:rPr>
    </w:lvl>
  </w:abstractNum>
  <w:abstractNum w:abstractNumId="1">
    <w:nsid w:val="AB3775F8"/>
    <w:multiLevelType w:val="singleLevel"/>
    <w:tmpl w:val="AB3775F8"/>
    <w:lvl w:ilvl="0" w:tentative="0">
      <w:start w:val="1"/>
      <w:numFmt w:val="chineseCounting"/>
      <w:suff w:val="nothing"/>
      <w:lvlText w:val="（%1）"/>
      <w:lvlJc w:val="left"/>
      <w:rPr>
        <w:rFonts w:hint="eastAsia" w:cs="Times New Roman"/>
      </w:rPr>
    </w:lvl>
  </w:abstractNum>
  <w:abstractNum w:abstractNumId="2">
    <w:nsid w:val="BDDB8E36"/>
    <w:multiLevelType w:val="singleLevel"/>
    <w:tmpl w:val="BDDB8E36"/>
    <w:lvl w:ilvl="0" w:tentative="0">
      <w:start w:val="1"/>
      <w:numFmt w:val="chineseCounting"/>
      <w:suff w:val="nothing"/>
      <w:lvlText w:val="（%1）"/>
      <w:lvlJc w:val="left"/>
      <w:rPr>
        <w:rFonts w:hint="eastAsia" w:cs="Times New Roman"/>
      </w:rPr>
    </w:lvl>
  </w:abstractNum>
  <w:abstractNum w:abstractNumId="3">
    <w:nsid w:val="D7FC4A6F"/>
    <w:multiLevelType w:val="singleLevel"/>
    <w:tmpl w:val="D7FC4A6F"/>
    <w:lvl w:ilvl="0" w:tentative="0">
      <w:start w:val="2"/>
      <w:numFmt w:val="decimal"/>
      <w:suff w:val="nothing"/>
      <w:lvlText w:val="%1、"/>
      <w:lvlJc w:val="left"/>
      <w:rPr>
        <w:rFonts w:cs="Times New Roman"/>
      </w:rPr>
    </w:lvl>
  </w:abstractNum>
  <w:abstractNum w:abstractNumId="4">
    <w:nsid w:val="DA5A1167"/>
    <w:multiLevelType w:val="singleLevel"/>
    <w:tmpl w:val="DA5A1167"/>
    <w:lvl w:ilvl="0" w:tentative="0">
      <w:start w:val="1"/>
      <w:numFmt w:val="chineseCounting"/>
      <w:suff w:val="nothing"/>
      <w:lvlText w:val="%1、"/>
      <w:lvlJc w:val="left"/>
      <w:rPr>
        <w:rFonts w:hint="eastAsia" w:cs="Times New Roman"/>
      </w:rPr>
    </w:lvl>
  </w:abstractNum>
  <w:abstractNum w:abstractNumId="5">
    <w:nsid w:val="F5D6BA4A"/>
    <w:multiLevelType w:val="singleLevel"/>
    <w:tmpl w:val="F5D6BA4A"/>
    <w:lvl w:ilvl="0" w:tentative="0">
      <w:start w:val="1"/>
      <w:numFmt w:val="chineseCounting"/>
      <w:suff w:val="nothing"/>
      <w:lvlText w:val="（%1）"/>
      <w:lvlJc w:val="left"/>
      <w:rPr>
        <w:rFonts w:hint="eastAsia" w:cs="Times New Roman"/>
      </w:rPr>
    </w:lvl>
  </w:abstractNum>
  <w:abstractNum w:abstractNumId="6">
    <w:nsid w:val="2D17E0E6"/>
    <w:multiLevelType w:val="singleLevel"/>
    <w:tmpl w:val="2D17E0E6"/>
    <w:lvl w:ilvl="0" w:tentative="0">
      <w:start w:val="1"/>
      <w:numFmt w:val="decimal"/>
      <w:suff w:val="nothing"/>
      <w:lvlText w:val="%1、"/>
      <w:lvlJc w:val="left"/>
      <w:rPr>
        <w:rFonts w:cs="Times New Roman"/>
      </w:rPr>
    </w:lvl>
  </w:abstractNum>
  <w:abstractNum w:abstractNumId="7">
    <w:nsid w:val="58B9D192"/>
    <w:multiLevelType w:val="singleLevel"/>
    <w:tmpl w:val="58B9D192"/>
    <w:lvl w:ilvl="0" w:tentative="0">
      <w:start w:val="1"/>
      <w:numFmt w:val="chineseCounting"/>
      <w:suff w:val="nothing"/>
      <w:lvlText w:val="（%1）"/>
      <w:lvlJc w:val="left"/>
      <w:rPr>
        <w:rFonts w:hint="eastAsia" w:cs="Times New Roman"/>
      </w:rPr>
    </w:lvl>
  </w:abstractNum>
  <w:abstractNum w:abstractNumId="8">
    <w:nsid w:val="5A00110A"/>
    <w:multiLevelType w:val="singleLevel"/>
    <w:tmpl w:val="5A00110A"/>
    <w:lvl w:ilvl="0" w:tentative="0">
      <w:start w:val="1"/>
      <w:numFmt w:val="bullet"/>
      <w:lvlText w:val=""/>
      <w:lvlJc w:val="left"/>
      <w:pPr>
        <w:ind w:left="420" w:hanging="420"/>
      </w:pPr>
      <w:rPr>
        <w:rFonts w:hint="default" w:ascii="Wingdings" w:hAnsi="Wingdings"/>
      </w:rPr>
    </w:lvl>
  </w:abstractNum>
  <w:abstractNum w:abstractNumId="9">
    <w:nsid w:val="5A001242"/>
    <w:multiLevelType w:val="singleLevel"/>
    <w:tmpl w:val="5A001242"/>
    <w:lvl w:ilvl="0" w:tentative="0">
      <w:start w:val="1"/>
      <w:numFmt w:val="bullet"/>
      <w:lvlText w:val=""/>
      <w:lvlJc w:val="left"/>
      <w:pPr>
        <w:ind w:left="420" w:hanging="420"/>
      </w:pPr>
      <w:rPr>
        <w:rFonts w:hint="default" w:ascii="Wingdings" w:hAnsi="Wingdings"/>
      </w:rPr>
    </w:lvl>
  </w:abstractNum>
  <w:abstractNum w:abstractNumId="10">
    <w:nsid w:val="5A001444"/>
    <w:multiLevelType w:val="singleLevel"/>
    <w:tmpl w:val="5A001444"/>
    <w:lvl w:ilvl="0" w:tentative="0">
      <w:start w:val="1"/>
      <w:numFmt w:val="bullet"/>
      <w:lvlText w:val=""/>
      <w:lvlJc w:val="left"/>
      <w:pPr>
        <w:ind w:left="420" w:hanging="420"/>
      </w:pPr>
      <w:rPr>
        <w:rFonts w:hint="default" w:ascii="Wingdings" w:hAnsi="Wingdings"/>
      </w:rPr>
    </w:lvl>
  </w:abstractNum>
  <w:abstractNum w:abstractNumId="11">
    <w:nsid w:val="709D8D58"/>
    <w:multiLevelType w:val="singleLevel"/>
    <w:tmpl w:val="709D8D58"/>
    <w:lvl w:ilvl="0" w:tentative="0">
      <w:start w:val="1"/>
      <w:numFmt w:val="decimal"/>
      <w:suff w:val="nothing"/>
      <w:lvlText w:val="%1、"/>
      <w:lvlJc w:val="left"/>
      <w:rPr>
        <w:rFonts w:cs="Times New Roman"/>
      </w:rPr>
    </w:lvl>
  </w:abstractNum>
  <w:abstractNum w:abstractNumId="12">
    <w:nsid w:val="7E90C586"/>
    <w:multiLevelType w:val="singleLevel"/>
    <w:tmpl w:val="7E90C586"/>
    <w:lvl w:ilvl="0" w:tentative="0">
      <w:start w:val="1"/>
      <w:numFmt w:val="chineseCounting"/>
      <w:suff w:val="nothing"/>
      <w:lvlText w:val="（%1）"/>
      <w:lvlJc w:val="left"/>
      <w:rPr>
        <w:rFonts w:hint="eastAsia" w:cs="Times New Roman"/>
      </w:rPr>
    </w:lvl>
  </w:abstractNum>
  <w:num w:numId="1">
    <w:abstractNumId w:val="11"/>
  </w:num>
  <w:num w:numId="2">
    <w:abstractNumId w:val="4"/>
  </w:num>
  <w:num w:numId="3">
    <w:abstractNumId w:val="6"/>
  </w:num>
  <w:num w:numId="4">
    <w:abstractNumId w:val="12"/>
  </w:num>
  <w:num w:numId="5">
    <w:abstractNumId w:val="8"/>
  </w:num>
  <w:num w:numId="6">
    <w:abstractNumId w:val="2"/>
  </w:num>
  <w:num w:numId="7">
    <w:abstractNumId w:val="9"/>
  </w:num>
  <w:num w:numId="8">
    <w:abstractNumId w:val="7"/>
  </w:num>
  <w:num w:numId="9">
    <w:abstractNumId w:val="0"/>
  </w:num>
  <w:num w:numId="10">
    <w:abstractNumId w:val="10"/>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B"/>
    <w:rsid w:val="00001EE8"/>
    <w:rsid w:val="000035EE"/>
    <w:rsid w:val="00004602"/>
    <w:rsid w:val="00004C63"/>
    <w:rsid w:val="00007441"/>
    <w:rsid w:val="000075CC"/>
    <w:rsid w:val="0001080F"/>
    <w:rsid w:val="00012146"/>
    <w:rsid w:val="00013213"/>
    <w:rsid w:val="0001386D"/>
    <w:rsid w:val="00013F85"/>
    <w:rsid w:val="000165FD"/>
    <w:rsid w:val="000202F9"/>
    <w:rsid w:val="00020BAF"/>
    <w:rsid w:val="000222F7"/>
    <w:rsid w:val="00022FDC"/>
    <w:rsid w:val="00024B71"/>
    <w:rsid w:val="00024BFD"/>
    <w:rsid w:val="0002513F"/>
    <w:rsid w:val="000258F4"/>
    <w:rsid w:val="00026613"/>
    <w:rsid w:val="0002685A"/>
    <w:rsid w:val="00026EAD"/>
    <w:rsid w:val="000275DF"/>
    <w:rsid w:val="00027603"/>
    <w:rsid w:val="000321E0"/>
    <w:rsid w:val="00032EA6"/>
    <w:rsid w:val="00033695"/>
    <w:rsid w:val="000358F3"/>
    <w:rsid w:val="000362DF"/>
    <w:rsid w:val="00036D09"/>
    <w:rsid w:val="00037DF7"/>
    <w:rsid w:val="00041E2B"/>
    <w:rsid w:val="00042299"/>
    <w:rsid w:val="00042493"/>
    <w:rsid w:val="00042F91"/>
    <w:rsid w:val="000442C6"/>
    <w:rsid w:val="000451FA"/>
    <w:rsid w:val="00045486"/>
    <w:rsid w:val="0004626D"/>
    <w:rsid w:val="00051505"/>
    <w:rsid w:val="0005194D"/>
    <w:rsid w:val="000522A6"/>
    <w:rsid w:val="00052AFF"/>
    <w:rsid w:val="00053C28"/>
    <w:rsid w:val="00060E2C"/>
    <w:rsid w:val="0006513C"/>
    <w:rsid w:val="0006553E"/>
    <w:rsid w:val="00067AF2"/>
    <w:rsid w:val="00067F33"/>
    <w:rsid w:val="00070EA9"/>
    <w:rsid w:val="000714B8"/>
    <w:rsid w:val="000716EF"/>
    <w:rsid w:val="00072138"/>
    <w:rsid w:val="00073989"/>
    <w:rsid w:val="000741B0"/>
    <w:rsid w:val="000747B4"/>
    <w:rsid w:val="00080E05"/>
    <w:rsid w:val="00081401"/>
    <w:rsid w:val="000846FD"/>
    <w:rsid w:val="00084A19"/>
    <w:rsid w:val="000866F6"/>
    <w:rsid w:val="0008677A"/>
    <w:rsid w:val="00087CBA"/>
    <w:rsid w:val="00087E2D"/>
    <w:rsid w:val="00090492"/>
    <w:rsid w:val="0009117F"/>
    <w:rsid w:val="00094731"/>
    <w:rsid w:val="00094E53"/>
    <w:rsid w:val="00096616"/>
    <w:rsid w:val="000979FD"/>
    <w:rsid w:val="000A09A5"/>
    <w:rsid w:val="000A18A3"/>
    <w:rsid w:val="000A19F9"/>
    <w:rsid w:val="000A1B31"/>
    <w:rsid w:val="000A1D0C"/>
    <w:rsid w:val="000A35BD"/>
    <w:rsid w:val="000A38AF"/>
    <w:rsid w:val="000A3A63"/>
    <w:rsid w:val="000A5002"/>
    <w:rsid w:val="000A5AE8"/>
    <w:rsid w:val="000B0DC1"/>
    <w:rsid w:val="000B2C14"/>
    <w:rsid w:val="000B3A75"/>
    <w:rsid w:val="000B54AF"/>
    <w:rsid w:val="000B5B06"/>
    <w:rsid w:val="000B5D34"/>
    <w:rsid w:val="000B725A"/>
    <w:rsid w:val="000C034A"/>
    <w:rsid w:val="000C11AE"/>
    <w:rsid w:val="000C199B"/>
    <w:rsid w:val="000C35DE"/>
    <w:rsid w:val="000C37BB"/>
    <w:rsid w:val="000C50FB"/>
    <w:rsid w:val="000C55E2"/>
    <w:rsid w:val="000C6AE0"/>
    <w:rsid w:val="000C7A55"/>
    <w:rsid w:val="000D214C"/>
    <w:rsid w:val="000D2E11"/>
    <w:rsid w:val="000D3038"/>
    <w:rsid w:val="000D488F"/>
    <w:rsid w:val="000D7A42"/>
    <w:rsid w:val="000E0321"/>
    <w:rsid w:val="000E0579"/>
    <w:rsid w:val="000E2681"/>
    <w:rsid w:val="000E583A"/>
    <w:rsid w:val="000F0921"/>
    <w:rsid w:val="000F3A0F"/>
    <w:rsid w:val="000F4A27"/>
    <w:rsid w:val="000F68D6"/>
    <w:rsid w:val="000F7A29"/>
    <w:rsid w:val="00100DA0"/>
    <w:rsid w:val="0010216A"/>
    <w:rsid w:val="001024FC"/>
    <w:rsid w:val="00103A57"/>
    <w:rsid w:val="0010640F"/>
    <w:rsid w:val="0011132B"/>
    <w:rsid w:val="00111F41"/>
    <w:rsid w:val="00112184"/>
    <w:rsid w:val="001122B1"/>
    <w:rsid w:val="00116DD1"/>
    <w:rsid w:val="00117B33"/>
    <w:rsid w:val="00120C6D"/>
    <w:rsid w:val="00121924"/>
    <w:rsid w:val="00122228"/>
    <w:rsid w:val="00122BFC"/>
    <w:rsid w:val="00126A6E"/>
    <w:rsid w:val="00127238"/>
    <w:rsid w:val="001277C2"/>
    <w:rsid w:val="001324CA"/>
    <w:rsid w:val="0013331E"/>
    <w:rsid w:val="001348D8"/>
    <w:rsid w:val="001359C0"/>
    <w:rsid w:val="00136660"/>
    <w:rsid w:val="00137D69"/>
    <w:rsid w:val="00137DC8"/>
    <w:rsid w:val="0014132E"/>
    <w:rsid w:val="00143015"/>
    <w:rsid w:val="00144709"/>
    <w:rsid w:val="00144C7B"/>
    <w:rsid w:val="00146447"/>
    <w:rsid w:val="00146A65"/>
    <w:rsid w:val="00146B08"/>
    <w:rsid w:val="0014783D"/>
    <w:rsid w:val="001540AE"/>
    <w:rsid w:val="001552D8"/>
    <w:rsid w:val="00155377"/>
    <w:rsid w:val="00160263"/>
    <w:rsid w:val="00160D42"/>
    <w:rsid w:val="00166EF7"/>
    <w:rsid w:val="00167A4B"/>
    <w:rsid w:val="001734C1"/>
    <w:rsid w:val="00173BAA"/>
    <w:rsid w:val="00173DFE"/>
    <w:rsid w:val="00174933"/>
    <w:rsid w:val="00180C3D"/>
    <w:rsid w:val="00182169"/>
    <w:rsid w:val="001823CF"/>
    <w:rsid w:val="001824D9"/>
    <w:rsid w:val="0018346D"/>
    <w:rsid w:val="001834F4"/>
    <w:rsid w:val="00183B37"/>
    <w:rsid w:val="00183C44"/>
    <w:rsid w:val="0018402B"/>
    <w:rsid w:val="00186078"/>
    <w:rsid w:val="00186137"/>
    <w:rsid w:val="00186AE1"/>
    <w:rsid w:val="00193513"/>
    <w:rsid w:val="00194167"/>
    <w:rsid w:val="00194250"/>
    <w:rsid w:val="00194AA7"/>
    <w:rsid w:val="001A00A5"/>
    <w:rsid w:val="001A027E"/>
    <w:rsid w:val="001A0BAC"/>
    <w:rsid w:val="001A1C84"/>
    <w:rsid w:val="001A202E"/>
    <w:rsid w:val="001A5F20"/>
    <w:rsid w:val="001A645A"/>
    <w:rsid w:val="001A6C06"/>
    <w:rsid w:val="001A7878"/>
    <w:rsid w:val="001A7BD9"/>
    <w:rsid w:val="001A7D81"/>
    <w:rsid w:val="001B2586"/>
    <w:rsid w:val="001B27C0"/>
    <w:rsid w:val="001B4146"/>
    <w:rsid w:val="001B4532"/>
    <w:rsid w:val="001B7ECD"/>
    <w:rsid w:val="001C044C"/>
    <w:rsid w:val="001C1087"/>
    <w:rsid w:val="001C2E2E"/>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5014"/>
    <w:rsid w:val="001E7C7F"/>
    <w:rsid w:val="001E7D65"/>
    <w:rsid w:val="001F12F2"/>
    <w:rsid w:val="001F2921"/>
    <w:rsid w:val="001F3265"/>
    <w:rsid w:val="001F3EAA"/>
    <w:rsid w:val="001F4525"/>
    <w:rsid w:val="001F46FB"/>
    <w:rsid w:val="001F52A4"/>
    <w:rsid w:val="001F74BD"/>
    <w:rsid w:val="002002BB"/>
    <w:rsid w:val="00200A5A"/>
    <w:rsid w:val="00202825"/>
    <w:rsid w:val="00203913"/>
    <w:rsid w:val="00203A32"/>
    <w:rsid w:val="0020413F"/>
    <w:rsid w:val="00205F58"/>
    <w:rsid w:val="0020617E"/>
    <w:rsid w:val="00206516"/>
    <w:rsid w:val="00210244"/>
    <w:rsid w:val="00210329"/>
    <w:rsid w:val="00210C98"/>
    <w:rsid w:val="00212B74"/>
    <w:rsid w:val="0021323D"/>
    <w:rsid w:val="00214992"/>
    <w:rsid w:val="00215104"/>
    <w:rsid w:val="0021524F"/>
    <w:rsid w:val="002152DD"/>
    <w:rsid w:val="00215C2A"/>
    <w:rsid w:val="00216289"/>
    <w:rsid w:val="00223B58"/>
    <w:rsid w:val="002241DD"/>
    <w:rsid w:val="0022518B"/>
    <w:rsid w:val="00225C0F"/>
    <w:rsid w:val="002271D5"/>
    <w:rsid w:val="00227251"/>
    <w:rsid w:val="0023012A"/>
    <w:rsid w:val="0023168F"/>
    <w:rsid w:val="00233FCA"/>
    <w:rsid w:val="00234FC5"/>
    <w:rsid w:val="00235363"/>
    <w:rsid w:val="00235472"/>
    <w:rsid w:val="00236044"/>
    <w:rsid w:val="00236C76"/>
    <w:rsid w:val="00236F46"/>
    <w:rsid w:val="002400A8"/>
    <w:rsid w:val="002440C0"/>
    <w:rsid w:val="0024740D"/>
    <w:rsid w:val="00250EC1"/>
    <w:rsid w:val="00252419"/>
    <w:rsid w:val="0025308B"/>
    <w:rsid w:val="00254B07"/>
    <w:rsid w:val="00256003"/>
    <w:rsid w:val="00256FA1"/>
    <w:rsid w:val="00257D0E"/>
    <w:rsid w:val="00257E05"/>
    <w:rsid w:val="0026090E"/>
    <w:rsid w:val="00262450"/>
    <w:rsid w:val="002628F6"/>
    <w:rsid w:val="002638A1"/>
    <w:rsid w:val="002662A5"/>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528"/>
    <w:rsid w:val="00297A56"/>
    <w:rsid w:val="002A02A6"/>
    <w:rsid w:val="002A11E4"/>
    <w:rsid w:val="002A2097"/>
    <w:rsid w:val="002A2212"/>
    <w:rsid w:val="002A3477"/>
    <w:rsid w:val="002A3D82"/>
    <w:rsid w:val="002B2226"/>
    <w:rsid w:val="002B27F6"/>
    <w:rsid w:val="002B2AAB"/>
    <w:rsid w:val="002B3868"/>
    <w:rsid w:val="002B436D"/>
    <w:rsid w:val="002B5562"/>
    <w:rsid w:val="002B5A0D"/>
    <w:rsid w:val="002B7397"/>
    <w:rsid w:val="002C0C9A"/>
    <w:rsid w:val="002C1060"/>
    <w:rsid w:val="002C1426"/>
    <w:rsid w:val="002C2089"/>
    <w:rsid w:val="002C220C"/>
    <w:rsid w:val="002C290E"/>
    <w:rsid w:val="002C5AA4"/>
    <w:rsid w:val="002C6465"/>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4F57"/>
    <w:rsid w:val="002E5588"/>
    <w:rsid w:val="002E6146"/>
    <w:rsid w:val="002E703A"/>
    <w:rsid w:val="002F123F"/>
    <w:rsid w:val="002F2B44"/>
    <w:rsid w:val="002F2BA8"/>
    <w:rsid w:val="002F4854"/>
    <w:rsid w:val="002F50F9"/>
    <w:rsid w:val="002F649C"/>
    <w:rsid w:val="002F6DBB"/>
    <w:rsid w:val="00302435"/>
    <w:rsid w:val="00303126"/>
    <w:rsid w:val="00304DC7"/>
    <w:rsid w:val="0030663F"/>
    <w:rsid w:val="00307B43"/>
    <w:rsid w:val="0031006D"/>
    <w:rsid w:val="00310D48"/>
    <w:rsid w:val="00311939"/>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314BE"/>
    <w:rsid w:val="003316D4"/>
    <w:rsid w:val="00331FEE"/>
    <w:rsid w:val="0033289E"/>
    <w:rsid w:val="00333B75"/>
    <w:rsid w:val="003343CA"/>
    <w:rsid w:val="00334EE4"/>
    <w:rsid w:val="00336207"/>
    <w:rsid w:val="00337CCF"/>
    <w:rsid w:val="00337F2D"/>
    <w:rsid w:val="00342834"/>
    <w:rsid w:val="00342BDE"/>
    <w:rsid w:val="00342C45"/>
    <w:rsid w:val="00347C8E"/>
    <w:rsid w:val="00351052"/>
    <w:rsid w:val="00351072"/>
    <w:rsid w:val="00351711"/>
    <w:rsid w:val="00355080"/>
    <w:rsid w:val="0035578D"/>
    <w:rsid w:val="00355978"/>
    <w:rsid w:val="00355E3E"/>
    <w:rsid w:val="00355E63"/>
    <w:rsid w:val="003571A3"/>
    <w:rsid w:val="00357C73"/>
    <w:rsid w:val="00360364"/>
    <w:rsid w:val="00360F19"/>
    <w:rsid w:val="003618EE"/>
    <w:rsid w:val="0036256A"/>
    <w:rsid w:val="00363D79"/>
    <w:rsid w:val="0036509C"/>
    <w:rsid w:val="00365311"/>
    <w:rsid w:val="003653CD"/>
    <w:rsid w:val="00366503"/>
    <w:rsid w:val="003669E5"/>
    <w:rsid w:val="00367F7F"/>
    <w:rsid w:val="00374AC8"/>
    <w:rsid w:val="003753AD"/>
    <w:rsid w:val="003754E1"/>
    <w:rsid w:val="00376A3B"/>
    <w:rsid w:val="003777F3"/>
    <w:rsid w:val="00377BB5"/>
    <w:rsid w:val="00380B8D"/>
    <w:rsid w:val="00380FDD"/>
    <w:rsid w:val="0038526A"/>
    <w:rsid w:val="003864EE"/>
    <w:rsid w:val="00387243"/>
    <w:rsid w:val="00387D3C"/>
    <w:rsid w:val="003906B7"/>
    <w:rsid w:val="003908EF"/>
    <w:rsid w:val="00392A7F"/>
    <w:rsid w:val="003939C0"/>
    <w:rsid w:val="003947F4"/>
    <w:rsid w:val="00394B2F"/>
    <w:rsid w:val="00395309"/>
    <w:rsid w:val="0039630F"/>
    <w:rsid w:val="00396603"/>
    <w:rsid w:val="00396F2C"/>
    <w:rsid w:val="003A0585"/>
    <w:rsid w:val="003A0EEA"/>
    <w:rsid w:val="003A1199"/>
    <w:rsid w:val="003A19CC"/>
    <w:rsid w:val="003A2EFF"/>
    <w:rsid w:val="003A419A"/>
    <w:rsid w:val="003A47D6"/>
    <w:rsid w:val="003A4BD2"/>
    <w:rsid w:val="003A4DB9"/>
    <w:rsid w:val="003A5215"/>
    <w:rsid w:val="003A64A3"/>
    <w:rsid w:val="003B27EB"/>
    <w:rsid w:val="003B5254"/>
    <w:rsid w:val="003B7D5B"/>
    <w:rsid w:val="003C455D"/>
    <w:rsid w:val="003C4899"/>
    <w:rsid w:val="003C4A8C"/>
    <w:rsid w:val="003C53DA"/>
    <w:rsid w:val="003C7456"/>
    <w:rsid w:val="003D2C22"/>
    <w:rsid w:val="003D2C98"/>
    <w:rsid w:val="003D37EE"/>
    <w:rsid w:val="003D4FD7"/>
    <w:rsid w:val="003D50C6"/>
    <w:rsid w:val="003D5D2F"/>
    <w:rsid w:val="003D682A"/>
    <w:rsid w:val="003D68A0"/>
    <w:rsid w:val="003E0DE0"/>
    <w:rsid w:val="003E2568"/>
    <w:rsid w:val="003E4454"/>
    <w:rsid w:val="003E67A7"/>
    <w:rsid w:val="003E6F95"/>
    <w:rsid w:val="003F7414"/>
    <w:rsid w:val="003F7577"/>
    <w:rsid w:val="00400227"/>
    <w:rsid w:val="004010D2"/>
    <w:rsid w:val="0040278C"/>
    <w:rsid w:val="00402C73"/>
    <w:rsid w:val="00403396"/>
    <w:rsid w:val="00404460"/>
    <w:rsid w:val="004048DA"/>
    <w:rsid w:val="00404CAC"/>
    <w:rsid w:val="004068BC"/>
    <w:rsid w:val="0041043F"/>
    <w:rsid w:val="00414CBA"/>
    <w:rsid w:val="004154D5"/>
    <w:rsid w:val="00415E55"/>
    <w:rsid w:val="00415FE2"/>
    <w:rsid w:val="00420C6F"/>
    <w:rsid w:val="00420D0C"/>
    <w:rsid w:val="00423669"/>
    <w:rsid w:val="0042397D"/>
    <w:rsid w:val="00424004"/>
    <w:rsid w:val="0042483E"/>
    <w:rsid w:val="00424A45"/>
    <w:rsid w:val="0042637D"/>
    <w:rsid w:val="00426A66"/>
    <w:rsid w:val="004279E0"/>
    <w:rsid w:val="00431DD8"/>
    <w:rsid w:val="0043232C"/>
    <w:rsid w:val="00432CFF"/>
    <w:rsid w:val="004332DE"/>
    <w:rsid w:val="004363BB"/>
    <w:rsid w:val="00436766"/>
    <w:rsid w:val="00443895"/>
    <w:rsid w:val="00443A3A"/>
    <w:rsid w:val="00445088"/>
    <w:rsid w:val="004453D2"/>
    <w:rsid w:val="00447726"/>
    <w:rsid w:val="00450F33"/>
    <w:rsid w:val="00451B62"/>
    <w:rsid w:val="004522B1"/>
    <w:rsid w:val="004527AB"/>
    <w:rsid w:val="004565E9"/>
    <w:rsid w:val="0046022F"/>
    <w:rsid w:val="00461A7E"/>
    <w:rsid w:val="004622C8"/>
    <w:rsid w:val="00462CF4"/>
    <w:rsid w:val="00462EC7"/>
    <w:rsid w:val="00464258"/>
    <w:rsid w:val="004645D6"/>
    <w:rsid w:val="00465532"/>
    <w:rsid w:val="0046735A"/>
    <w:rsid w:val="0046769F"/>
    <w:rsid w:val="004709F0"/>
    <w:rsid w:val="00472AB8"/>
    <w:rsid w:val="00474409"/>
    <w:rsid w:val="0047468D"/>
    <w:rsid w:val="00477501"/>
    <w:rsid w:val="00477A1B"/>
    <w:rsid w:val="004815D4"/>
    <w:rsid w:val="00481B29"/>
    <w:rsid w:val="00485E2A"/>
    <w:rsid w:val="0049241C"/>
    <w:rsid w:val="00492F33"/>
    <w:rsid w:val="00493609"/>
    <w:rsid w:val="00495674"/>
    <w:rsid w:val="004960D5"/>
    <w:rsid w:val="0049614C"/>
    <w:rsid w:val="004970FB"/>
    <w:rsid w:val="004A129A"/>
    <w:rsid w:val="004A3A24"/>
    <w:rsid w:val="004A3D10"/>
    <w:rsid w:val="004A454B"/>
    <w:rsid w:val="004A4580"/>
    <w:rsid w:val="004A54B2"/>
    <w:rsid w:val="004A6375"/>
    <w:rsid w:val="004B033A"/>
    <w:rsid w:val="004B040B"/>
    <w:rsid w:val="004B0813"/>
    <w:rsid w:val="004B0EB8"/>
    <w:rsid w:val="004B3745"/>
    <w:rsid w:val="004B3B8B"/>
    <w:rsid w:val="004B3F23"/>
    <w:rsid w:val="004B4E0F"/>
    <w:rsid w:val="004B7101"/>
    <w:rsid w:val="004B72A0"/>
    <w:rsid w:val="004B74F5"/>
    <w:rsid w:val="004B755B"/>
    <w:rsid w:val="004B7C52"/>
    <w:rsid w:val="004C0062"/>
    <w:rsid w:val="004C1343"/>
    <w:rsid w:val="004C4170"/>
    <w:rsid w:val="004C5CE9"/>
    <w:rsid w:val="004C5D9E"/>
    <w:rsid w:val="004C6322"/>
    <w:rsid w:val="004C682D"/>
    <w:rsid w:val="004D1456"/>
    <w:rsid w:val="004D1EE4"/>
    <w:rsid w:val="004D2EAA"/>
    <w:rsid w:val="004D312F"/>
    <w:rsid w:val="004D3D06"/>
    <w:rsid w:val="004D4A30"/>
    <w:rsid w:val="004D5281"/>
    <w:rsid w:val="004D56EC"/>
    <w:rsid w:val="004D5E78"/>
    <w:rsid w:val="004D63DD"/>
    <w:rsid w:val="004D678E"/>
    <w:rsid w:val="004D726E"/>
    <w:rsid w:val="004E0CFD"/>
    <w:rsid w:val="004E3278"/>
    <w:rsid w:val="004E3DBB"/>
    <w:rsid w:val="004E4555"/>
    <w:rsid w:val="004E4E27"/>
    <w:rsid w:val="004E64F8"/>
    <w:rsid w:val="004E658B"/>
    <w:rsid w:val="004F0569"/>
    <w:rsid w:val="004F14A4"/>
    <w:rsid w:val="004F197D"/>
    <w:rsid w:val="004F1E76"/>
    <w:rsid w:val="004F27D7"/>
    <w:rsid w:val="004F2AA0"/>
    <w:rsid w:val="004F3833"/>
    <w:rsid w:val="004F55B5"/>
    <w:rsid w:val="004F6C18"/>
    <w:rsid w:val="004F6C33"/>
    <w:rsid w:val="004F703D"/>
    <w:rsid w:val="00500E1E"/>
    <w:rsid w:val="00501509"/>
    <w:rsid w:val="0050205A"/>
    <w:rsid w:val="005035E6"/>
    <w:rsid w:val="005050FC"/>
    <w:rsid w:val="005067C5"/>
    <w:rsid w:val="00506FE4"/>
    <w:rsid w:val="0051315F"/>
    <w:rsid w:val="0051386D"/>
    <w:rsid w:val="00513F63"/>
    <w:rsid w:val="00514601"/>
    <w:rsid w:val="00514D3B"/>
    <w:rsid w:val="00514DDC"/>
    <w:rsid w:val="00516649"/>
    <w:rsid w:val="00521480"/>
    <w:rsid w:val="0052453F"/>
    <w:rsid w:val="00525B65"/>
    <w:rsid w:val="0053076F"/>
    <w:rsid w:val="0053150B"/>
    <w:rsid w:val="005322DD"/>
    <w:rsid w:val="00533905"/>
    <w:rsid w:val="005340DD"/>
    <w:rsid w:val="0053466E"/>
    <w:rsid w:val="00534B93"/>
    <w:rsid w:val="0053590A"/>
    <w:rsid w:val="005362D2"/>
    <w:rsid w:val="00537ECB"/>
    <w:rsid w:val="00540BB6"/>
    <w:rsid w:val="0054349C"/>
    <w:rsid w:val="0054370A"/>
    <w:rsid w:val="00543F97"/>
    <w:rsid w:val="00544C63"/>
    <w:rsid w:val="0055076B"/>
    <w:rsid w:val="0055391A"/>
    <w:rsid w:val="005546D9"/>
    <w:rsid w:val="005550AD"/>
    <w:rsid w:val="0055707E"/>
    <w:rsid w:val="00560165"/>
    <w:rsid w:val="00562CA0"/>
    <w:rsid w:val="005657D5"/>
    <w:rsid w:val="005660AF"/>
    <w:rsid w:val="00566A3A"/>
    <w:rsid w:val="00566DEA"/>
    <w:rsid w:val="00566DF1"/>
    <w:rsid w:val="0057146C"/>
    <w:rsid w:val="00573ADA"/>
    <w:rsid w:val="00574CAC"/>
    <w:rsid w:val="00574F19"/>
    <w:rsid w:val="00577CCE"/>
    <w:rsid w:val="00581204"/>
    <w:rsid w:val="00581FBE"/>
    <w:rsid w:val="00582ADD"/>
    <w:rsid w:val="005839E0"/>
    <w:rsid w:val="00586934"/>
    <w:rsid w:val="0059048A"/>
    <w:rsid w:val="00590D0E"/>
    <w:rsid w:val="00591355"/>
    <w:rsid w:val="00591E86"/>
    <w:rsid w:val="00593DBA"/>
    <w:rsid w:val="00593FA3"/>
    <w:rsid w:val="005948C4"/>
    <w:rsid w:val="00594A09"/>
    <w:rsid w:val="00594EDA"/>
    <w:rsid w:val="0059525B"/>
    <w:rsid w:val="00596383"/>
    <w:rsid w:val="00597AD8"/>
    <w:rsid w:val="00597ADB"/>
    <w:rsid w:val="005A1868"/>
    <w:rsid w:val="005A2B47"/>
    <w:rsid w:val="005A3068"/>
    <w:rsid w:val="005A43F2"/>
    <w:rsid w:val="005A509E"/>
    <w:rsid w:val="005A58A4"/>
    <w:rsid w:val="005B0DE3"/>
    <w:rsid w:val="005B1733"/>
    <w:rsid w:val="005B26CA"/>
    <w:rsid w:val="005B295F"/>
    <w:rsid w:val="005B57DE"/>
    <w:rsid w:val="005B6D7E"/>
    <w:rsid w:val="005B70C7"/>
    <w:rsid w:val="005B7145"/>
    <w:rsid w:val="005C234B"/>
    <w:rsid w:val="005C3639"/>
    <w:rsid w:val="005C3857"/>
    <w:rsid w:val="005C5726"/>
    <w:rsid w:val="005C66D4"/>
    <w:rsid w:val="005C679F"/>
    <w:rsid w:val="005D02BA"/>
    <w:rsid w:val="005D1265"/>
    <w:rsid w:val="005D305E"/>
    <w:rsid w:val="005D47E2"/>
    <w:rsid w:val="005D50A9"/>
    <w:rsid w:val="005D5EC7"/>
    <w:rsid w:val="005D7533"/>
    <w:rsid w:val="005E2206"/>
    <w:rsid w:val="005E2676"/>
    <w:rsid w:val="005E2941"/>
    <w:rsid w:val="005E2A2D"/>
    <w:rsid w:val="005E3E21"/>
    <w:rsid w:val="005E4419"/>
    <w:rsid w:val="005E4E23"/>
    <w:rsid w:val="005E552A"/>
    <w:rsid w:val="005F0A4B"/>
    <w:rsid w:val="005F0DC2"/>
    <w:rsid w:val="005F33A1"/>
    <w:rsid w:val="005F412C"/>
    <w:rsid w:val="005F4C86"/>
    <w:rsid w:val="005F76EB"/>
    <w:rsid w:val="005F7C24"/>
    <w:rsid w:val="00600E0D"/>
    <w:rsid w:val="00601E1E"/>
    <w:rsid w:val="006032EE"/>
    <w:rsid w:val="006037B5"/>
    <w:rsid w:val="00604EDF"/>
    <w:rsid w:val="00604F46"/>
    <w:rsid w:val="00604F54"/>
    <w:rsid w:val="00606336"/>
    <w:rsid w:val="0061073D"/>
    <w:rsid w:val="00610B0B"/>
    <w:rsid w:val="00613AF7"/>
    <w:rsid w:val="0061544B"/>
    <w:rsid w:val="00616FCD"/>
    <w:rsid w:val="0062114B"/>
    <w:rsid w:val="006216BC"/>
    <w:rsid w:val="00622907"/>
    <w:rsid w:val="006238A7"/>
    <w:rsid w:val="00623A89"/>
    <w:rsid w:val="00623F47"/>
    <w:rsid w:val="00626831"/>
    <w:rsid w:val="00626AD4"/>
    <w:rsid w:val="006305AC"/>
    <w:rsid w:val="006309E8"/>
    <w:rsid w:val="00630AD7"/>
    <w:rsid w:val="00631318"/>
    <w:rsid w:val="00632E90"/>
    <w:rsid w:val="00636395"/>
    <w:rsid w:val="006404E6"/>
    <w:rsid w:val="00640918"/>
    <w:rsid w:val="00641CF6"/>
    <w:rsid w:val="0064274F"/>
    <w:rsid w:val="00642CF7"/>
    <w:rsid w:val="00643484"/>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A00"/>
    <w:rsid w:val="00667FF6"/>
    <w:rsid w:val="006704CE"/>
    <w:rsid w:val="00672C22"/>
    <w:rsid w:val="00672DD5"/>
    <w:rsid w:val="00674E12"/>
    <w:rsid w:val="006755E3"/>
    <w:rsid w:val="00675916"/>
    <w:rsid w:val="006773D7"/>
    <w:rsid w:val="00677BA7"/>
    <w:rsid w:val="00680A68"/>
    <w:rsid w:val="00682420"/>
    <w:rsid w:val="00682971"/>
    <w:rsid w:val="00683D32"/>
    <w:rsid w:val="00683F0C"/>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38FD"/>
    <w:rsid w:val="006A4542"/>
    <w:rsid w:val="006A53AB"/>
    <w:rsid w:val="006A5521"/>
    <w:rsid w:val="006A5D5A"/>
    <w:rsid w:val="006A60C3"/>
    <w:rsid w:val="006A677D"/>
    <w:rsid w:val="006A69AC"/>
    <w:rsid w:val="006B272B"/>
    <w:rsid w:val="006B4108"/>
    <w:rsid w:val="006B5D5C"/>
    <w:rsid w:val="006C29D0"/>
    <w:rsid w:val="006C339B"/>
    <w:rsid w:val="006C73BF"/>
    <w:rsid w:val="006C7706"/>
    <w:rsid w:val="006C7AC8"/>
    <w:rsid w:val="006C7D52"/>
    <w:rsid w:val="006C7F75"/>
    <w:rsid w:val="006D1577"/>
    <w:rsid w:val="006D27A3"/>
    <w:rsid w:val="006D34D0"/>
    <w:rsid w:val="006D3EE1"/>
    <w:rsid w:val="006D46EC"/>
    <w:rsid w:val="006D5B31"/>
    <w:rsid w:val="006D70B8"/>
    <w:rsid w:val="006E007D"/>
    <w:rsid w:val="006E3B07"/>
    <w:rsid w:val="006E3D55"/>
    <w:rsid w:val="006E3F01"/>
    <w:rsid w:val="006E58B1"/>
    <w:rsid w:val="006E6182"/>
    <w:rsid w:val="006E6B22"/>
    <w:rsid w:val="006E7CAF"/>
    <w:rsid w:val="006F2EA8"/>
    <w:rsid w:val="006F3444"/>
    <w:rsid w:val="006F5326"/>
    <w:rsid w:val="006F55F6"/>
    <w:rsid w:val="006F5C2F"/>
    <w:rsid w:val="006F765D"/>
    <w:rsid w:val="006F7F00"/>
    <w:rsid w:val="007020A3"/>
    <w:rsid w:val="00703997"/>
    <w:rsid w:val="00703C5F"/>
    <w:rsid w:val="00703DFC"/>
    <w:rsid w:val="00703E8D"/>
    <w:rsid w:val="00710846"/>
    <w:rsid w:val="007109F5"/>
    <w:rsid w:val="0071144F"/>
    <w:rsid w:val="007117BE"/>
    <w:rsid w:val="0071378E"/>
    <w:rsid w:val="00716E25"/>
    <w:rsid w:val="007175F4"/>
    <w:rsid w:val="0071772B"/>
    <w:rsid w:val="00720A18"/>
    <w:rsid w:val="007213D4"/>
    <w:rsid w:val="00722262"/>
    <w:rsid w:val="00723F03"/>
    <w:rsid w:val="00723FE8"/>
    <w:rsid w:val="00724C44"/>
    <w:rsid w:val="00724DCB"/>
    <w:rsid w:val="00725E75"/>
    <w:rsid w:val="007270C8"/>
    <w:rsid w:val="00727651"/>
    <w:rsid w:val="007317F8"/>
    <w:rsid w:val="00731CA1"/>
    <w:rsid w:val="007322DD"/>
    <w:rsid w:val="00733CE8"/>
    <w:rsid w:val="0073445D"/>
    <w:rsid w:val="0073606F"/>
    <w:rsid w:val="00740F5B"/>
    <w:rsid w:val="007418A2"/>
    <w:rsid w:val="00743131"/>
    <w:rsid w:val="007446FC"/>
    <w:rsid w:val="007447C4"/>
    <w:rsid w:val="0074480C"/>
    <w:rsid w:val="00744BD3"/>
    <w:rsid w:val="00745BED"/>
    <w:rsid w:val="00745DBA"/>
    <w:rsid w:val="0074757E"/>
    <w:rsid w:val="00750678"/>
    <w:rsid w:val="00750716"/>
    <w:rsid w:val="0075117B"/>
    <w:rsid w:val="0075161C"/>
    <w:rsid w:val="00751874"/>
    <w:rsid w:val="007526C2"/>
    <w:rsid w:val="00752A5E"/>
    <w:rsid w:val="00754968"/>
    <w:rsid w:val="00757195"/>
    <w:rsid w:val="00757449"/>
    <w:rsid w:val="0076092B"/>
    <w:rsid w:val="00761870"/>
    <w:rsid w:val="00764787"/>
    <w:rsid w:val="007655A3"/>
    <w:rsid w:val="007660BA"/>
    <w:rsid w:val="00770340"/>
    <w:rsid w:val="007709A1"/>
    <w:rsid w:val="007713D2"/>
    <w:rsid w:val="00771913"/>
    <w:rsid w:val="00773538"/>
    <w:rsid w:val="007764DE"/>
    <w:rsid w:val="00777165"/>
    <w:rsid w:val="00781087"/>
    <w:rsid w:val="00782ECB"/>
    <w:rsid w:val="00784313"/>
    <w:rsid w:val="00784521"/>
    <w:rsid w:val="00785A5E"/>
    <w:rsid w:val="00786DC7"/>
    <w:rsid w:val="007870AD"/>
    <w:rsid w:val="0078732E"/>
    <w:rsid w:val="007874F8"/>
    <w:rsid w:val="007919F1"/>
    <w:rsid w:val="0079232E"/>
    <w:rsid w:val="007941FB"/>
    <w:rsid w:val="00795FB4"/>
    <w:rsid w:val="00797C63"/>
    <w:rsid w:val="00797DB6"/>
    <w:rsid w:val="007A0D6C"/>
    <w:rsid w:val="007A127C"/>
    <w:rsid w:val="007A1A76"/>
    <w:rsid w:val="007A2716"/>
    <w:rsid w:val="007A7AAE"/>
    <w:rsid w:val="007A7E80"/>
    <w:rsid w:val="007B162B"/>
    <w:rsid w:val="007B3125"/>
    <w:rsid w:val="007B5682"/>
    <w:rsid w:val="007B7380"/>
    <w:rsid w:val="007C0A1F"/>
    <w:rsid w:val="007C0DDF"/>
    <w:rsid w:val="007C3C43"/>
    <w:rsid w:val="007C74E8"/>
    <w:rsid w:val="007D0753"/>
    <w:rsid w:val="007D0898"/>
    <w:rsid w:val="007D1206"/>
    <w:rsid w:val="007D1D1D"/>
    <w:rsid w:val="007D1FD2"/>
    <w:rsid w:val="007D2078"/>
    <w:rsid w:val="007D2572"/>
    <w:rsid w:val="007D43AD"/>
    <w:rsid w:val="007D6133"/>
    <w:rsid w:val="007E05F3"/>
    <w:rsid w:val="007E1D19"/>
    <w:rsid w:val="007E1E7C"/>
    <w:rsid w:val="007E3F9C"/>
    <w:rsid w:val="007E4ACE"/>
    <w:rsid w:val="007E4B4A"/>
    <w:rsid w:val="007E51D4"/>
    <w:rsid w:val="007F1352"/>
    <w:rsid w:val="007F148D"/>
    <w:rsid w:val="007F17FC"/>
    <w:rsid w:val="007F1944"/>
    <w:rsid w:val="007F1EC2"/>
    <w:rsid w:val="007F273C"/>
    <w:rsid w:val="007F483F"/>
    <w:rsid w:val="007F60AC"/>
    <w:rsid w:val="007F7561"/>
    <w:rsid w:val="007F786D"/>
    <w:rsid w:val="007F78C9"/>
    <w:rsid w:val="007F7F21"/>
    <w:rsid w:val="00801A1C"/>
    <w:rsid w:val="00801C67"/>
    <w:rsid w:val="0080341F"/>
    <w:rsid w:val="00803F6C"/>
    <w:rsid w:val="0080527E"/>
    <w:rsid w:val="008055EC"/>
    <w:rsid w:val="00806187"/>
    <w:rsid w:val="00806608"/>
    <w:rsid w:val="008067A4"/>
    <w:rsid w:val="00807F41"/>
    <w:rsid w:val="00810F67"/>
    <w:rsid w:val="0081135D"/>
    <w:rsid w:val="0081218F"/>
    <w:rsid w:val="00812678"/>
    <w:rsid w:val="00813753"/>
    <w:rsid w:val="00813E69"/>
    <w:rsid w:val="0081444B"/>
    <w:rsid w:val="008162B4"/>
    <w:rsid w:val="008162F7"/>
    <w:rsid w:val="00816FFD"/>
    <w:rsid w:val="00817753"/>
    <w:rsid w:val="00824DF5"/>
    <w:rsid w:val="008253CC"/>
    <w:rsid w:val="008255D7"/>
    <w:rsid w:val="0082592C"/>
    <w:rsid w:val="00825CAB"/>
    <w:rsid w:val="00826FF1"/>
    <w:rsid w:val="008277C4"/>
    <w:rsid w:val="008304DD"/>
    <w:rsid w:val="008305C7"/>
    <w:rsid w:val="008343C3"/>
    <w:rsid w:val="0083736E"/>
    <w:rsid w:val="008377A4"/>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5E69"/>
    <w:rsid w:val="008560C8"/>
    <w:rsid w:val="0086149E"/>
    <w:rsid w:val="00861783"/>
    <w:rsid w:val="00862024"/>
    <w:rsid w:val="008620ED"/>
    <w:rsid w:val="0086382D"/>
    <w:rsid w:val="00864965"/>
    <w:rsid w:val="00865277"/>
    <w:rsid w:val="00865C9C"/>
    <w:rsid w:val="00865E01"/>
    <w:rsid w:val="00865F19"/>
    <w:rsid w:val="008665EF"/>
    <w:rsid w:val="0086740B"/>
    <w:rsid w:val="008718C9"/>
    <w:rsid w:val="00871F26"/>
    <w:rsid w:val="00872191"/>
    <w:rsid w:val="00873A8F"/>
    <w:rsid w:val="00874E02"/>
    <w:rsid w:val="00874F0A"/>
    <w:rsid w:val="00876BE9"/>
    <w:rsid w:val="008773C8"/>
    <w:rsid w:val="0087784A"/>
    <w:rsid w:val="00880805"/>
    <w:rsid w:val="00880B18"/>
    <w:rsid w:val="00880BF9"/>
    <w:rsid w:val="00881D3E"/>
    <w:rsid w:val="00882191"/>
    <w:rsid w:val="0088587A"/>
    <w:rsid w:val="00886A6D"/>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7775"/>
    <w:rsid w:val="008B7F04"/>
    <w:rsid w:val="008C0925"/>
    <w:rsid w:val="008C1A80"/>
    <w:rsid w:val="008C21BE"/>
    <w:rsid w:val="008C22A0"/>
    <w:rsid w:val="008C4D6A"/>
    <w:rsid w:val="008C502B"/>
    <w:rsid w:val="008C6E43"/>
    <w:rsid w:val="008D06AE"/>
    <w:rsid w:val="008D1BD8"/>
    <w:rsid w:val="008D1CB0"/>
    <w:rsid w:val="008D2449"/>
    <w:rsid w:val="008D2F24"/>
    <w:rsid w:val="008D3D55"/>
    <w:rsid w:val="008D3FA4"/>
    <w:rsid w:val="008D4122"/>
    <w:rsid w:val="008D470E"/>
    <w:rsid w:val="008D4A13"/>
    <w:rsid w:val="008D55F7"/>
    <w:rsid w:val="008D706F"/>
    <w:rsid w:val="008D72DA"/>
    <w:rsid w:val="008D7942"/>
    <w:rsid w:val="008E15BC"/>
    <w:rsid w:val="008E1E6B"/>
    <w:rsid w:val="008E2528"/>
    <w:rsid w:val="008E2887"/>
    <w:rsid w:val="008E3D21"/>
    <w:rsid w:val="008E53DE"/>
    <w:rsid w:val="008E6848"/>
    <w:rsid w:val="008E6B94"/>
    <w:rsid w:val="008E7A5C"/>
    <w:rsid w:val="008E7AF3"/>
    <w:rsid w:val="008E7E15"/>
    <w:rsid w:val="008F0863"/>
    <w:rsid w:val="008F0C90"/>
    <w:rsid w:val="008F3B51"/>
    <w:rsid w:val="008F4BDA"/>
    <w:rsid w:val="008F5242"/>
    <w:rsid w:val="008F708E"/>
    <w:rsid w:val="008F70A5"/>
    <w:rsid w:val="00900884"/>
    <w:rsid w:val="00901378"/>
    <w:rsid w:val="00901591"/>
    <w:rsid w:val="0090269F"/>
    <w:rsid w:val="00904DAA"/>
    <w:rsid w:val="0090550E"/>
    <w:rsid w:val="00906610"/>
    <w:rsid w:val="00906A55"/>
    <w:rsid w:val="0091066D"/>
    <w:rsid w:val="009113AB"/>
    <w:rsid w:val="009126B3"/>
    <w:rsid w:val="00912CA5"/>
    <w:rsid w:val="00913FA1"/>
    <w:rsid w:val="00914E48"/>
    <w:rsid w:val="00915C80"/>
    <w:rsid w:val="00915E3D"/>
    <w:rsid w:val="00921278"/>
    <w:rsid w:val="00922838"/>
    <w:rsid w:val="0092497F"/>
    <w:rsid w:val="009249CF"/>
    <w:rsid w:val="00925B2B"/>
    <w:rsid w:val="009269DC"/>
    <w:rsid w:val="00927220"/>
    <w:rsid w:val="009308CF"/>
    <w:rsid w:val="009321FE"/>
    <w:rsid w:val="0093396C"/>
    <w:rsid w:val="00933F8F"/>
    <w:rsid w:val="009340AC"/>
    <w:rsid w:val="009356FA"/>
    <w:rsid w:val="00936940"/>
    <w:rsid w:val="00936E66"/>
    <w:rsid w:val="00937963"/>
    <w:rsid w:val="009417DE"/>
    <w:rsid w:val="00941831"/>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686B"/>
    <w:rsid w:val="00956E43"/>
    <w:rsid w:val="009576B6"/>
    <w:rsid w:val="009618FD"/>
    <w:rsid w:val="0096551C"/>
    <w:rsid w:val="00974839"/>
    <w:rsid w:val="00976271"/>
    <w:rsid w:val="009773B5"/>
    <w:rsid w:val="00977751"/>
    <w:rsid w:val="00980907"/>
    <w:rsid w:val="00981362"/>
    <w:rsid w:val="009836AC"/>
    <w:rsid w:val="009845C5"/>
    <w:rsid w:val="00986845"/>
    <w:rsid w:val="0098798D"/>
    <w:rsid w:val="00994197"/>
    <w:rsid w:val="009945D4"/>
    <w:rsid w:val="00994C41"/>
    <w:rsid w:val="00994D98"/>
    <w:rsid w:val="009A1F3C"/>
    <w:rsid w:val="009A28E0"/>
    <w:rsid w:val="009A2CF9"/>
    <w:rsid w:val="009A3FF1"/>
    <w:rsid w:val="009A4A8C"/>
    <w:rsid w:val="009A5497"/>
    <w:rsid w:val="009A6329"/>
    <w:rsid w:val="009A7839"/>
    <w:rsid w:val="009A7C80"/>
    <w:rsid w:val="009B0DB1"/>
    <w:rsid w:val="009B134D"/>
    <w:rsid w:val="009B1365"/>
    <w:rsid w:val="009B14AD"/>
    <w:rsid w:val="009B183B"/>
    <w:rsid w:val="009B186F"/>
    <w:rsid w:val="009B29D4"/>
    <w:rsid w:val="009B457A"/>
    <w:rsid w:val="009B5CCA"/>
    <w:rsid w:val="009B5EA9"/>
    <w:rsid w:val="009B7F3F"/>
    <w:rsid w:val="009C2DF8"/>
    <w:rsid w:val="009C338D"/>
    <w:rsid w:val="009C34B8"/>
    <w:rsid w:val="009C3900"/>
    <w:rsid w:val="009C4E95"/>
    <w:rsid w:val="009C4E9F"/>
    <w:rsid w:val="009C59EC"/>
    <w:rsid w:val="009C72BD"/>
    <w:rsid w:val="009C7C36"/>
    <w:rsid w:val="009D0DD6"/>
    <w:rsid w:val="009D2A03"/>
    <w:rsid w:val="009D2C13"/>
    <w:rsid w:val="009D401C"/>
    <w:rsid w:val="009D5486"/>
    <w:rsid w:val="009D5841"/>
    <w:rsid w:val="009D595C"/>
    <w:rsid w:val="009D7692"/>
    <w:rsid w:val="009D7D67"/>
    <w:rsid w:val="009E0C9F"/>
    <w:rsid w:val="009E0DDB"/>
    <w:rsid w:val="009E177E"/>
    <w:rsid w:val="009E1F8D"/>
    <w:rsid w:val="009E221F"/>
    <w:rsid w:val="009E3496"/>
    <w:rsid w:val="009E355A"/>
    <w:rsid w:val="009E3E65"/>
    <w:rsid w:val="009E4C7D"/>
    <w:rsid w:val="009E5AE4"/>
    <w:rsid w:val="009E62CF"/>
    <w:rsid w:val="009E6C7E"/>
    <w:rsid w:val="009F1E43"/>
    <w:rsid w:val="009F2218"/>
    <w:rsid w:val="009F4071"/>
    <w:rsid w:val="009F4F9E"/>
    <w:rsid w:val="009F5D11"/>
    <w:rsid w:val="009F7597"/>
    <w:rsid w:val="00A00188"/>
    <w:rsid w:val="00A0027D"/>
    <w:rsid w:val="00A02516"/>
    <w:rsid w:val="00A03F1E"/>
    <w:rsid w:val="00A0456B"/>
    <w:rsid w:val="00A04EED"/>
    <w:rsid w:val="00A06BA4"/>
    <w:rsid w:val="00A1004F"/>
    <w:rsid w:val="00A10B9F"/>
    <w:rsid w:val="00A12F32"/>
    <w:rsid w:val="00A148A7"/>
    <w:rsid w:val="00A17828"/>
    <w:rsid w:val="00A20640"/>
    <w:rsid w:val="00A2066A"/>
    <w:rsid w:val="00A21B52"/>
    <w:rsid w:val="00A238B6"/>
    <w:rsid w:val="00A23DF4"/>
    <w:rsid w:val="00A305DD"/>
    <w:rsid w:val="00A325D9"/>
    <w:rsid w:val="00A3750C"/>
    <w:rsid w:val="00A409B8"/>
    <w:rsid w:val="00A41145"/>
    <w:rsid w:val="00A4166B"/>
    <w:rsid w:val="00A44575"/>
    <w:rsid w:val="00A46CBE"/>
    <w:rsid w:val="00A47577"/>
    <w:rsid w:val="00A52067"/>
    <w:rsid w:val="00A53DC8"/>
    <w:rsid w:val="00A5423F"/>
    <w:rsid w:val="00A579F0"/>
    <w:rsid w:val="00A6274C"/>
    <w:rsid w:val="00A627AF"/>
    <w:rsid w:val="00A62EFF"/>
    <w:rsid w:val="00A65B57"/>
    <w:rsid w:val="00A663F6"/>
    <w:rsid w:val="00A6719D"/>
    <w:rsid w:val="00A67AC3"/>
    <w:rsid w:val="00A72C7A"/>
    <w:rsid w:val="00A74424"/>
    <w:rsid w:val="00A748AA"/>
    <w:rsid w:val="00A75615"/>
    <w:rsid w:val="00A758D9"/>
    <w:rsid w:val="00A766EB"/>
    <w:rsid w:val="00A76DDF"/>
    <w:rsid w:val="00A81DDA"/>
    <w:rsid w:val="00A824D4"/>
    <w:rsid w:val="00A82DC0"/>
    <w:rsid w:val="00A83DAF"/>
    <w:rsid w:val="00A84C8B"/>
    <w:rsid w:val="00A85787"/>
    <w:rsid w:val="00A86DCF"/>
    <w:rsid w:val="00A8770E"/>
    <w:rsid w:val="00A877EE"/>
    <w:rsid w:val="00A93FE3"/>
    <w:rsid w:val="00A94791"/>
    <w:rsid w:val="00A95AA2"/>
    <w:rsid w:val="00A97C31"/>
    <w:rsid w:val="00A97D9A"/>
    <w:rsid w:val="00A97E76"/>
    <w:rsid w:val="00AA024B"/>
    <w:rsid w:val="00AA1B38"/>
    <w:rsid w:val="00AA2A0A"/>
    <w:rsid w:val="00AA2BDD"/>
    <w:rsid w:val="00AA32B9"/>
    <w:rsid w:val="00AA4697"/>
    <w:rsid w:val="00AA523E"/>
    <w:rsid w:val="00AA6277"/>
    <w:rsid w:val="00AA6597"/>
    <w:rsid w:val="00AA75F5"/>
    <w:rsid w:val="00AB301A"/>
    <w:rsid w:val="00AB46CE"/>
    <w:rsid w:val="00AC053B"/>
    <w:rsid w:val="00AC06B6"/>
    <w:rsid w:val="00AC24E9"/>
    <w:rsid w:val="00AC2DD1"/>
    <w:rsid w:val="00AC3B12"/>
    <w:rsid w:val="00AC40EF"/>
    <w:rsid w:val="00AC5851"/>
    <w:rsid w:val="00AC5AC1"/>
    <w:rsid w:val="00AC5F80"/>
    <w:rsid w:val="00AC79C7"/>
    <w:rsid w:val="00AD18E2"/>
    <w:rsid w:val="00AD3188"/>
    <w:rsid w:val="00AD39DF"/>
    <w:rsid w:val="00AD3AD0"/>
    <w:rsid w:val="00AD3DDB"/>
    <w:rsid w:val="00AD4434"/>
    <w:rsid w:val="00AD4928"/>
    <w:rsid w:val="00AD4CF3"/>
    <w:rsid w:val="00AD53B9"/>
    <w:rsid w:val="00AD77D4"/>
    <w:rsid w:val="00AD7BF6"/>
    <w:rsid w:val="00AD7EA8"/>
    <w:rsid w:val="00AE3B51"/>
    <w:rsid w:val="00AE4167"/>
    <w:rsid w:val="00AE50C6"/>
    <w:rsid w:val="00AE733B"/>
    <w:rsid w:val="00AF1667"/>
    <w:rsid w:val="00AF2D2F"/>
    <w:rsid w:val="00AF38D4"/>
    <w:rsid w:val="00AF4406"/>
    <w:rsid w:val="00AF4CA7"/>
    <w:rsid w:val="00AF64B4"/>
    <w:rsid w:val="00AF6BBB"/>
    <w:rsid w:val="00AF713E"/>
    <w:rsid w:val="00AF7FF1"/>
    <w:rsid w:val="00B00392"/>
    <w:rsid w:val="00B00800"/>
    <w:rsid w:val="00B00B96"/>
    <w:rsid w:val="00B01F96"/>
    <w:rsid w:val="00B021CC"/>
    <w:rsid w:val="00B02517"/>
    <w:rsid w:val="00B02743"/>
    <w:rsid w:val="00B02F88"/>
    <w:rsid w:val="00B04B65"/>
    <w:rsid w:val="00B070CD"/>
    <w:rsid w:val="00B07116"/>
    <w:rsid w:val="00B10074"/>
    <w:rsid w:val="00B10EFD"/>
    <w:rsid w:val="00B152D2"/>
    <w:rsid w:val="00B16AE4"/>
    <w:rsid w:val="00B16B96"/>
    <w:rsid w:val="00B16E63"/>
    <w:rsid w:val="00B20D9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3E29"/>
    <w:rsid w:val="00B44290"/>
    <w:rsid w:val="00B4582F"/>
    <w:rsid w:val="00B45E17"/>
    <w:rsid w:val="00B4633D"/>
    <w:rsid w:val="00B46C8F"/>
    <w:rsid w:val="00B47824"/>
    <w:rsid w:val="00B47825"/>
    <w:rsid w:val="00B50775"/>
    <w:rsid w:val="00B51307"/>
    <w:rsid w:val="00B513D9"/>
    <w:rsid w:val="00B536D3"/>
    <w:rsid w:val="00B5530B"/>
    <w:rsid w:val="00B55D64"/>
    <w:rsid w:val="00B57FB6"/>
    <w:rsid w:val="00B63E09"/>
    <w:rsid w:val="00B63FBB"/>
    <w:rsid w:val="00B64583"/>
    <w:rsid w:val="00B66A75"/>
    <w:rsid w:val="00B66D0E"/>
    <w:rsid w:val="00B66FAB"/>
    <w:rsid w:val="00B670E9"/>
    <w:rsid w:val="00B72414"/>
    <w:rsid w:val="00B736DA"/>
    <w:rsid w:val="00B73BDF"/>
    <w:rsid w:val="00B73E82"/>
    <w:rsid w:val="00B7503C"/>
    <w:rsid w:val="00B77872"/>
    <w:rsid w:val="00B8055B"/>
    <w:rsid w:val="00B829AE"/>
    <w:rsid w:val="00B82EA0"/>
    <w:rsid w:val="00B8310F"/>
    <w:rsid w:val="00B83F6A"/>
    <w:rsid w:val="00B84B23"/>
    <w:rsid w:val="00B854FA"/>
    <w:rsid w:val="00B85D4E"/>
    <w:rsid w:val="00B86044"/>
    <w:rsid w:val="00B869FA"/>
    <w:rsid w:val="00B878AC"/>
    <w:rsid w:val="00B9227E"/>
    <w:rsid w:val="00B92EF3"/>
    <w:rsid w:val="00B938C0"/>
    <w:rsid w:val="00BA20B6"/>
    <w:rsid w:val="00BA3340"/>
    <w:rsid w:val="00BB27CC"/>
    <w:rsid w:val="00BB2C40"/>
    <w:rsid w:val="00BB37A5"/>
    <w:rsid w:val="00BB440B"/>
    <w:rsid w:val="00BB78DC"/>
    <w:rsid w:val="00BC040F"/>
    <w:rsid w:val="00BC352B"/>
    <w:rsid w:val="00BC3ACF"/>
    <w:rsid w:val="00BD08D2"/>
    <w:rsid w:val="00BD1F25"/>
    <w:rsid w:val="00BD217F"/>
    <w:rsid w:val="00BD3748"/>
    <w:rsid w:val="00BD5FF9"/>
    <w:rsid w:val="00BD7600"/>
    <w:rsid w:val="00BE08A4"/>
    <w:rsid w:val="00BE0921"/>
    <w:rsid w:val="00BE1639"/>
    <w:rsid w:val="00BE1892"/>
    <w:rsid w:val="00BE1987"/>
    <w:rsid w:val="00BE22F7"/>
    <w:rsid w:val="00BE330F"/>
    <w:rsid w:val="00BE42E9"/>
    <w:rsid w:val="00BE6AE0"/>
    <w:rsid w:val="00BE7113"/>
    <w:rsid w:val="00BE756F"/>
    <w:rsid w:val="00BE77D4"/>
    <w:rsid w:val="00BE7E34"/>
    <w:rsid w:val="00BF002E"/>
    <w:rsid w:val="00BF05F4"/>
    <w:rsid w:val="00BF06DC"/>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1F1E"/>
    <w:rsid w:val="00C244DB"/>
    <w:rsid w:val="00C24764"/>
    <w:rsid w:val="00C27587"/>
    <w:rsid w:val="00C3339D"/>
    <w:rsid w:val="00C334D9"/>
    <w:rsid w:val="00C33A8D"/>
    <w:rsid w:val="00C3541B"/>
    <w:rsid w:val="00C35449"/>
    <w:rsid w:val="00C37518"/>
    <w:rsid w:val="00C40262"/>
    <w:rsid w:val="00C407EC"/>
    <w:rsid w:val="00C4082F"/>
    <w:rsid w:val="00C40D9A"/>
    <w:rsid w:val="00C40E54"/>
    <w:rsid w:val="00C41ECF"/>
    <w:rsid w:val="00C42006"/>
    <w:rsid w:val="00C42DE8"/>
    <w:rsid w:val="00C433A7"/>
    <w:rsid w:val="00C4357F"/>
    <w:rsid w:val="00C4564E"/>
    <w:rsid w:val="00C47A69"/>
    <w:rsid w:val="00C47E17"/>
    <w:rsid w:val="00C51CCB"/>
    <w:rsid w:val="00C560BF"/>
    <w:rsid w:val="00C6074C"/>
    <w:rsid w:val="00C60DD1"/>
    <w:rsid w:val="00C61D0B"/>
    <w:rsid w:val="00C62216"/>
    <w:rsid w:val="00C73035"/>
    <w:rsid w:val="00C751D2"/>
    <w:rsid w:val="00C756C0"/>
    <w:rsid w:val="00C77436"/>
    <w:rsid w:val="00C7786E"/>
    <w:rsid w:val="00C801AC"/>
    <w:rsid w:val="00C81AEE"/>
    <w:rsid w:val="00C825D5"/>
    <w:rsid w:val="00C845A3"/>
    <w:rsid w:val="00C845EC"/>
    <w:rsid w:val="00C85889"/>
    <w:rsid w:val="00C86246"/>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008"/>
    <w:rsid w:val="00CA71FD"/>
    <w:rsid w:val="00CA79E9"/>
    <w:rsid w:val="00CB19AF"/>
    <w:rsid w:val="00CB2CC5"/>
    <w:rsid w:val="00CB32B9"/>
    <w:rsid w:val="00CB3818"/>
    <w:rsid w:val="00CB4486"/>
    <w:rsid w:val="00CB73B1"/>
    <w:rsid w:val="00CB75DD"/>
    <w:rsid w:val="00CB7F69"/>
    <w:rsid w:val="00CC1B9B"/>
    <w:rsid w:val="00CC2473"/>
    <w:rsid w:val="00CC46D7"/>
    <w:rsid w:val="00CC65F5"/>
    <w:rsid w:val="00CD06B1"/>
    <w:rsid w:val="00CD1614"/>
    <w:rsid w:val="00CD1FDF"/>
    <w:rsid w:val="00CD2568"/>
    <w:rsid w:val="00CD2A1E"/>
    <w:rsid w:val="00CD37E6"/>
    <w:rsid w:val="00CD3DD4"/>
    <w:rsid w:val="00CD423A"/>
    <w:rsid w:val="00CD505E"/>
    <w:rsid w:val="00CE06AA"/>
    <w:rsid w:val="00CE2612"/>
    <w:rsid w:val="00CE3B3D"/>
    <w:rsid w:val="00CE594C"/>
    <w:rsid w:val="00CE5D76"/>
    <w:rsid w:val="00CE672D"/>
    <w:rsid w:val="00CE6BA1"/>
    <w:rsid w:val="00CE6C55"/>
    <w:rsid w:val="00CF0585"/>
    <w:rsid w:val="00CF210D"/>
    <w:rsid w:val="00CF2650"/>
    <w:rsid w:val="00CF39CD"/>
    <w:rsid w:val="00CF3DE3"/>
    <w:rsid w:val="00CF4822"/>
    <w:rsid w:val="00CF49DC"/>
    <w:rsid w:val="00CF52AA"/>
    <w:rsid w:val="00CF6891"/>
    <w:rsid w:val="00CF7D6E"/>
    <w:rsid w:val="00D001A1"/>
    <w:rsid w:val="00D01F66"/>
    <w:rsid w:val="00D01F69"/>
    <w:rsid w:val="00D04024"/>
    <w:rsid w:val="00D044EC"/>
    <w:rsid w:val="00D04A60"/>
    <w:rsid w:val="00D11768"/>
    <w:rsid w:val="00D123B5"/>
    <w:rsid w:val="00D13176"/>
    <w:rsid w:val="00D14188"/>
    <w:rsid w:val="00D15741"/>
    <w:rsid w:val="00D165CA"/>
    <w:rsid w:val="00D16BD8"/>
    <w:rsid w:val="00D20E76"/>
    <w:rsid w:val="00D215DF"/>
    <w:rsid w:val="00D22091"/>
    <w:rsid w:val="00D23DC2"/>
    <w:rsid w:val="00D267FD"/>
    <w:rsid w:val="00D2783B"/>
    <w:rsid w:val="00D2784B"/>
    <w:rsid w:val="00D27D58"/>
    <w:rsid w:val="00D300D0"/>
    <w:rsid w:val="00D304CE"/>
    <w:rsid w:val="00D307C0"/>
    <w:rsid w:val="00D310DF"/>
    <w:rsid w:val="00D310F6"/>
    <w:rsid w:val="00D32031"/>
    <w:rsid w:val="00D328C1"/>
    <w:rsid w:val="00D32F3F"/>
    <w:rsid w:val="00D36924"/>
    <w:rsid w:val="00D42311"/>
    <w:rsid w:val="00D42763"/>
    <w:rsid w:val="00D43118"/>
    <w:rsid w:val="00D432DF"/>
    <w:rsid w:val="00D432F4"/>
    <w:rsid w:val="00D43547"/>
    <w:rsid w:val="00D43D26"/>
    <w:rsid w:val="00D4575A"/>
    <w:rsid w:val="00D4731B"/>
    <w:rsid w:val="00D51A88"/>
    <w:rsid w:val="00D521D1"/>
    <w:rsid w:val="00D52B01"/>
    <w:rsid w:val="00D5401B"/>
    <w:rsid w:val="00D54C25"/>
    <w:rsid w:val="00D5563F"/>
    <w:rsid w:val="00D55A46"/>
    <w:rsid w:val="00D55EEC"/>
    <w:rsid w:val="00D571F5"/>
    <w:rsid w:val="00D57F13"/>
    <w:rsid w:val="00D61610"/>
    <w:rsid w:val="00D6352D"/>
    <w:rsid w:val="00D64F29"/>
    <w:rsid w:val="00D65C20"/>
    <w:rsid w:val="00D66CBD"/>
    <w:rsid w:val="00D66CCF"/>
    <w:rsid w:val="00D67884"/>
    <w:rsid w:val="00D70573"/>
    <w:rsid w:val="00D71D07"/>
    <w:rsid w:val="00D72D30"/>
    <w:rsid w:val="00D732DB"/>
    <w:rsid w:val="00D73583"/>
    <w:rsid w:val="00D73F51"/>
    <w:rsid w:val="00D74067"/>
    <w:rsid w:val="00D7493B"/>
    <w:rsid w:val="00D74C43"/>
    <w:rsid w:val="00D772EC"/>
    <w:rsid w:val="00D7776F"/>
    <w:rsid w:val="00D807AE"/>
    <w:rsid w:val="00D80878"/>
    <w:rsid w:val="00D81E36"/>
    <w:rsid w:val="00D83BB4"/>
    <w:rsid w:val="00D83E2D"/>
    <w:rsid w:val="00D908DD"/>
    <w:rsid w:val="00D917C4"/>
    <w:rsid w:val="00D92F4A"/>
    <w:rsid w:val="00D9496A"/>
    <w:rsid w:val="00D958DF"/>
    <w:rsid w:val="00D97BB8"/>
    <w:rsid w:val="00DA0445"/>
    <w:rsid w:val="00DA10A3"/>
    <w:rsid w:val="00DA10A4"/>
    <w:rsid w:val="00DA360C"/>
    <w:rsid w:val="00DA5FC8"/>
    <w:rsid w:val="00DB1903"/>
    <w:rsid w:val="00DB2599"/>
    <w:rsid w:val="00DB3F14"/>
    <w:rsid w:val="00DC004F"/>
    <w:rsid w:val="00DC01A1"/>
    <w:rsid w:val="00DC0A25"/>
    <w:rsid w:val="00DC385D"/>
    <w:rsid w:val="00DC43B3"/>
    <w:rsid w:val="00DC4CD9"/>
    <w:rsid w:val="00DD18DC"/>
    <w:rsid w:val="00DD1AF1"/>
    <w:rsid w:val="00DD26EF"/>
    <w:rsid w:val="00DD2BEB"/>
    <w:rsid w:val="00DD38C8"/>
    <w:rsid w:val="00DD7197"/>
    <w:rsid w:val="00DD7F46"/>
    <w:rsid w:val="00DE213F"/>
    <w:rsid w:val="00DE2E49"/>
    <w:rsid w:val="00DE41D9"/>
    <w:rsid w:val="00DE52FD"/>
    <w:rsid w:val="00DE6890"/>
    <w:rsid w:val="00DE7359"/>
    <w:rsid w:val="00DE7C69"/>
    <w:rsid w:val="00DE7F72"/>
    <w:rsid w:val="00DF0E11"/>
    <w:rsid w:val="00DF0EB5"/>
    <w:rsid w:val="00DF1DCD"/>
    <w:rsid w:val="00DF353A"/>
    <w:rsid w:val="00E00933"/>
    <w:rsid w:val="00E0177F"/>
    <w:rsid w:val="00E03519"/>
    <w:rsid w:val="00E04E6C"/>
    <w:rsid w:val="00E05BF7"/>
    <w:rsid w:val="00E05F5C"/>
    <w:rsid w:val="00E06F18"/>
    <w:rsid w:val="00E11A50"/>
    <w:rsid w:val="00E11F04"/>
    <w:rsid w:val="00E12319"/>
    <w:rsid w:val="00E137F2"/>
    <w:rsid w:val="00E16929"/>
    <w:rsid w:val="00E16C72"/>
    <w:rsid w:val="00E16C84"/>
    <w:rsid w:val="00E20D74"/>
    <w:rsid w:val="00E2328E"/>
    <w:rsid w:val="00E2455F"/>
    <w:rsid w:val="00E24C0F"/>
    <w:rsid w:val="00E257C1"/>
    <w:rsid w:val="00E25D64"/>
    <w:rsid w:val="00E30026"/>
    <w:rsid w:val="00E33A61"/>
    <w:rsid w:val="00E3552F"/>
    <w:rsid w:val="00E364A8"/>
    <w:rsid w:val="00E36F7F"/>
    <w:rsid w:val="00E36FE6"/>
    <w:rsid w:val="00E40687"/>
    <w:rsid w:val="00E41099"/>
    <w:rsid w:val="00E424A2"/>
    <w:rsid w:val="00E42FF9"/>
    <w:rsid w:val="00E435A0"/>
    <w:rsid w:val="00E47D94"/>
    <w:rsid w:val="00E47F8B"/>
    <w:rsid w:val="00E50090"/>
    <w:rsid w:val="00E5249F"/>
    <w:rsid w:val="00E528DB"/>
    <w:rsid w:val="00E5290E"/>
    <w:rsid w:val="00E53BE8"/>
    <w:rsid w:val="00E54B9E"/>
    <w:rsid w:val="00E5672F"/>
    <w:rsid w:val="00E56968"/>
    <w:rsid w:val="00E56C05"/>
    <w:rsid w:val="00E56E7E"/>
    <w:rsid w:val="00E60552"/>
    <w:rsid w:val="00E620D5"/>
    <w:rsid w:val="00E62615"/>
    <w:rsid w:val="00E62DB0"/>
    <w:rsid w:val="00E63606"/>
    <w:rsid w:val="00E64093"/>
    <w:rsid w:val="00E653C8"/>
    <w:rsid w:val="00E6611B"/>
    <w:rsid w:val="00E6780C"/>
    <w:rsid w:val="00E74219"/>
    <w:rsid w:val="00E77297"/>
    <w:rsid w:val="00E80915"/>
    <w:rsid w:val="00E81123"/>
    <w:rsid w:val="00E81776"/>
    <w:rsid w:val="00E83869"/>
    <w:rsid w:val="00E83C89"/>
    <w:rsid w:val="00E85341"/>
    <w:rsid w:val="00E85BCC"/>
    <w:rsid w:val="00E85C2F"/>
    <w:rsid w:val="00E85FCF"/>
    <w:rsid w:val="00E86679"/>
    <w:rsid w:val="00E86D31"/>
    <w:rsid w:val="00E87411"/>
    <w:rsid w:val="00E90117"/>
    <w:rsid w:val="00E90A35"/>
    <w:rsid w:val="00E90D33"/>
    <w:rsid w:val="00E91AC2"/>
    <w:rsid w:val="00E92E39"/>
    <w:rsid w:val="00E92F22"/>
    <w:rsid w:val="00E9323D"/>
    <w:rsid w:val="00E933A0"/>
    <w:rsid w:val="00E9409E"/>
    <w:rsid w:val="00E94F8A"/>
    <w:rsid w:val="00E96C3C"/>
    <w:rsid w:val="00E97D4A"/>
    <w:rsid w:val="00EA09AA"/>
    <w:rsid w:val="00EA3523"/>
    <w:rsid w:val="00EA43DC"/>
    <w:rsid w:val="00EA44F5"/>
    <w:rsid w:val="00EA7053"/>
    <w:rsid w:val="00EA72C2"/>
    <w:rsid w:val="00EA7E39"/>
    <w:rsid w:val="00EB0F24"/>
    <w:rsid w:val="00EB11AF"/>
    <w:rsid w:val="00EB129D"/>
    <w:rsid w:val="00EB1A9A"/>
    <w:rsid w:val="00EB2D15"/>
    <w:rsid w:val="00EB3B2E"/>
    <w:rsid w:val="00EB3C8E"/>
    <w:rsid w:val="00EB5A8E"/>
    <w:rsid w:val="00EB6464"/>
    <w:rsid w:val="00EB6A16"/>
    <w:rsid w:val="00EB756F"/>
    <w:rsid w:val="00EB7E02"/>
    <w:rsid w:val="00EC1E8D"/>
    <w:rsid w:val="00EC2316"/>
    <w:rsid w:val="00EC334A"/>
    <w:rsid w:val="00EC3AB2"/>
    <w:rsid w:val="00EC6A17"/>
    <w:rsid w:val="00EC70DB"/>
    <w:rsid w:val="00EC7455"/>
    <w:rsid w:val="00EC7EA4"/>
    <w:rsid w:val="00EC7FE7"/>
    <w:rsid w:val="00ED19B1"/>
    <w:rsid w:val="00ED21B0"/>
    <w:rsid w:val="00ED4C05"/>
    <w:rsid w:val="00ED4EBA"/>
    <w:rsid w:val="00ED662F"/>
    <w:rsid w:val="00EE3E0C"/>
    <w:rsid w:val="00EE499E"/>
    <w:rsid w:val="00EE4A46"/>
    <w:rsid w:val="00EE4F1F"/>
    <w:rsid w:val="00EE64DE"/>
    <w:rsid w:val="00EE7550"/>
    <w:rsid w:val="00EF1BCD"/>
    <w:rsid w:val="00EF3238"/>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AF6"/>
    <w:rsid w:val="00F15D7E"/>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6ED"/>
    <w:rsid w:val="00F37EF0"/>
    <w:rsid w:val="00F401BA"/>
    <w:rsid w:val="00F404CA"/>
    <w:rsid w:val="00F40991"/>
    <w:rsid w:val="00F41245"/>
    <w:rsid w:val="00F424FA"/>
    <w:rsid w:val="00F442D5"/>
    <w:rsid w:val="00F44935"/>
    <w:rsid w:val="00F46184"/>
    <w:rsid w:val="00F47E28"/>
    <w:rsid w:val="00F506F1"/>
    <w:rsid w:val="00F51776"/>
    <w:rsid w:val="00F51F8D"/>
    <w:rsid w:val="00F52A82"/>
    <w:rsid w:val="00F53442"/>
    <w:rsid w:val="00F53681"/>
    <w:rsid w:val="00F53AF5"/>
    <w:rsid w:val="00F54AE4"/>
    <w:rsid w:val="00F55412"/>
    <w:rsid w:val="00F56E35"/>
    <w:rsid w:val="00F56FC1"/>
    <w:rsid w:val="00F6015C"/>
    <w:rsid w:val="00F63C7A"/>
    <w:rsid w:val="00F642C2"/>
    <w:rsid w:val="00F65612"/>
    <w:rsid w:val="00F65FAF"/>
    <w:rsid w:val="00F664D2"/>
    <w:rsid w:val="00F707AE"/>
    <w:rsid w:val="00F709D4"/>
    <w:rsid w:val="00F714AE"/>
    <w:rsid w:val="00F719C6"/>
    <w:rsid w:val="00F71A25"/>
    <w:rsid w:val="00F73DC6"/>
    <w:rsid w:val="00F760D3"/>
    <w:rsid w:val="00F76EF4"/>
    <w:rsid w:val="00F77585"/>
    <w:rsid w:val="00F779EE"/>
    <w:rsid w:val="00F80992"/>
    <w:rsid w:val="00F835CF"/>
    <w:rsid w:val="00F83AE7"/>
    <w:rsid w:val="00F84F12"/>
    <w:rsid w:val="00F8502D"/>
    <w:rsid w:val="00F85616"/>
    <w:rsid w:val="00F85C09"/>
    <w:rsid w:val="00F8711F"/>
    <w:rsid w:val="00F8716C"/>
    <w:rsid w:val="00F875F2"/>
    <w:rsid w:val="00F9186B"/>
    <w:rsid w:val="00F92352"/>
    <w:rsid w:val="00F93052"/>
    <w:rsid w:val="00F93E56"/>
    <w:rsid w:val="00F93FCD"/>
    <w:rsid w:val="00F94F42"/>
    <w:rsid w:val="00F94F8A"/>
    <w:rsid w:val="00FA12EA"/>
    <w:rsid w:val="00FA1C84"/>
    <w:rsid w:val="00FA1CBD"/>
    <w:rsid w:val="00FA4E96"/>
    <w:rsid w:val="00FA4F29"/>
    <w:rsid w:val="00FA59A7"/>
    <w:rsid w:val="00FA5C72"/>
    <w:rsid w:val="00FA5FC0"/>
    <w:rsid w:val="00FA6C2A"/>
    <w:rsid w:val="00FA6FA2"/>
    <w:rsid w:val="00FB253F"/>
    <w:rsid w:val="00FB2F0F"/>
    <w:rsid w:val="00FB6505"/>
    <w:rsid w:val="00FB6915"/>
    <w:rsid w:val="00FC2586"/>
    <w:rsid w:val="00FC51AB"/>
    <w:rsid w:val="00FC611E"/>
    <w:rsid w:val="00FC6C8E"/>
    <w:rsid w:val="00FD29A0"/>
    <w:rsid w:val="00FD2C27"/>
    <w:rsid w:val="00FD2E70"/>
    <w:rsid w:val="00FD3DEC"/>
    <w:rsid w:val="00FD3FFD"/>
    <w:rsid w:val="00FD462B"/>
    <w:rsid w:val="00FD5F70"/>
    <w:rsid w:val="00FD7469"/>
    <w:rsid w:val="00FD7DFE"/>
    <w:rsid w:val="00FE02B6"/>
    <w:rsid w:val="00FE055E"/>
    <w:rsid w:val="00FE1283"/>
    <w:rsid w:val="00FE26EF"/>
    <w:rsid w:val="00FE30BC"/>
    <w:rsid w:val="00FE34D4"/>
    <w:rsid w:val="00FE3604"/>
    <w:rsid w:val="00FE6CA3"/>
    <w:rsid w:val="00FE7163"/>
    <w:rsid w:val="00FF12CA"/>
    <w:rsid w:val="00FF1348"/>
    <w:rsid w:val="00FF7221"/>
    <w:rsid w:val="00FF73D8"/>
    <w:rsid w:val="013D7B5F"/>
    <w:rsid w:val="01572FD0"/>
    <w:rsid w:val="02B76A7A"/>
    <w:rsid w:val="034228BB"/>
    <w:rsid w:val="053A1FDF"/>
    <w:rsid w:val="05471B3F"/>
    <w:rsid w:val="05775371"/>
    <w:rsid w:val="05FE7F0A"/>
    <w:rsid w:val="06ED6AD7"/>
    <w:rsid w:val="08F453F0"/>
    <w:rsid w:val="08FE5B91"/>
    <w:rsid w:val="0B3E5438"/>
    <w:rsid w:val="0C1F6F5B"/>
    <w:rsid w:val="0D107D1B"/>
    <w:rsid w:val="0D4F6645"/>
    <w:rsid w:val="0EBC0A32"/>
    <w:rsid w:val="0FB37164"/>
    <w:rsid w:val="107A3128"/>
    <w:rsid w:val="12230F23"/>
    <w:rsid w:val="12501859"/>
    <w:rsid w:val="13061A0D"/>
    <w:rsid w:val="14362B54"/>
    <w:rsid w:val="1616330A"/>
    <w:rsid w:val="16A6122C"/>
    <w:rsid w:val="177A034E"/>
    <w:rsid w:val="1893454D"/>
    <w:rsid w:val="18D266C6"/>
    <w:rsid w:val="191036C5"/>
    <w:rsid w:val="193D6E09"/>
    <w:rsid w:val="19C4221C"/>
    <w:rsid w:val="1A526AC8"/>
    <w:rsid w:val="1AD563CD"/>
    <w:rsid w:val="1BB541A5"/>
    <w:rsid w:val="1D1F3A08"/>
    <w:rsid w:val="1D7B5C55"/>
    <w:rsid w:val="1E0835A0"/>
    <w:rsid w:val="1F121E8F"/>
    <w:rsid w:val="204F0285"/>
    <w:rsid w:val="21727A1A"/>
    <w:rsid w:val="21C7319D"/>
    <w:rsid w:val="223B4DB4"/>
    <w:rsid w:val="23D81CD9"/>
    <w:rsid w:val="24097598"/>
    <w:rsid w:val="249D2CB2"/>
    <w:rsid w:val="250B13C1"/>
    <w:rsid w:val="250F65D3"/>
    <w:rsid w:val="251E3555"/>
    <w:rsid w:val="252D1AC6"/>
    <w:rsid w:val="27D15F8C"/>
    <w:rsid w:val="28803A86"/>
    <w:rsid w:val="28E71497"/>
    <w:rsid w:val="28EC5A01"/>
    <w:rsid w:val="298446EA"/>
    <w:rsid w:val="29B703D5"/>
    <w:rsid w:val="29DB28B3"/>
    <w:rsid w:val="2CBC4B3D"/>
    <w:rsid w:val="2F0D13BF"/>
    <w:rsid w:val="2FC34324"/>
    <w:rsid w:val="30E93B07"/>
    <w:rsid w:val="30FB6211"/>
    <w:rsid w:val="32147169"/>
    <w:rsid w:val="321B54E3"/>
    <w:rsid w:val="347F7022"/>
    <w:rsid w:val="34C91AD2"/>
    <w:rsid w:val="34DB1BC6"/>
    <w:rsid w:val="355B4B26"/>
    <w:rsid w:val="35AD0692"/>
    <w:rsid w:val="36340898"/>
    <w:rsid w:val="36CE6C58"/>
    <w:rsid w:val="373B05AC"/>
    <w:rsid w:val="37B556F4"/>
    <w:rsid w:val="39DA3384"/>
    <w:rsid w:val="3B296E11"/>
    <w:rsid w:val="3DA83BAE"/>
    <w:rsid w:val="3ED43116"/>
    <w:rsid w:val="3FF606CB"/>
    <w:rsid w:val="40341AEF"/>
    <w:rsid w:val="408B6A77"/>
    <w:rsid w:val="40D72BE1"/>
    <w:rsid w:val="421D4DD1"/>
    <w:rsid w:val="434F7FDD"/>
    <w:rsid w:val="443937D0"/>
    <w:rsid w:val="45452BE9"/>
    <w:rsid w:val="45800A8F"/>
    <w:rsid w:val="45B35DD1"/>
    <w:rsid w:val="45C50027"/>
    <w:rsid w:val="4673053D"/>
    <w:rsid w:val="46C67BC5"/>
    <w:rsid w:val="492F02B7"/>
    <w:rsid w:val="4B23377D"/>
    <w:rsid w:val="4B354C8D"/>
    <w:rsid w:val="4B9E0E00"/>
    <w:rsid w:val="4BA21718"/>
    <w:rsid w:val="4BDE3438"/>
    <w:rsid w:val="4CD771D1"/>
    <w:rsid w:val="4D622DD0"/>
    <w:rsid w:val="4D923BC0"/>
    <w:rsid w:val="4D9A7EEC"/>
    <w:rsid w:val="4DB12D67"/>
    <w:rsid w:val="4DB95116"/>
    <w:rsid w:val="5023511C"/>
    <w:rsid w:val="5039608F"/>
    <w:rsid w:val="51750092"/>
    <w:rsid w:val="5238571D"/>
    <w:rsid w:val="527865F8"/>
    <w:rsid w:val="52B81F38"/>
    <w:rsid w:val="549973C7"/>
    <w:rsid w:val="54AE166E"/>
    <w:rsid w:val="55724656"/>
    <w:rsid w:val="570C5B60"/>
    <w:rsid w:val="572F5283"/>
    <w:rsid w:val="5774599C"/>
    <w:rsid w:val="579F7EF5"/>
    <w:rsid w:val="57D74170"/>
    <w:rsid w:val="586F1DFB"/>
    <w:rsid w:val="58D5792E"/>
    <w:rsid w:val="5A0A3CA9"/>
    <w:rsid w:val="5ADD7900"/>
    <w:rsid w:val="5B0979CC"/>
    <w:rsid w:val="5B815832"/>
    <w:rsid w:val="5C4E2774"/>
    <w:rsid w:val="5C9A5020"/>
    <w:rsid w:val="5D1931D9"/>
    <w:rsid w:val="5D327642"/>
    <w:rsid w:val="5D614111"/>
    <w:rsid w:val="5D7270EE"/>
    <w:rsid w:val="5DDF1D57"/>
    <w:rsid w:val="5DF44970"/>
    <w:rsid w:val="5E0814CC"/>
    <w:rsid w:val="5EA9322B"/>
    <w:rsid w:val="5EB54E2C"/>
    <w:rsid w:val="5FAE461E"/>
    <w:rsid w:val="5FDA5B41"/>
    <w:rsid w:val="60756869"/>
    <w:rsid w:val="614662C9"/>
    <w:rsid w:val="6180419F"/>
    <w:rsid w:val="618D14B1"/>
    <w:rsid w:val="61957D79"/>
    <w:rsid w:val="623945BE"/>
    <w:rsid w:val="63CE7327"/>
    <w:rsid w:val="65BF7DEF"/>
    <w:rsid w:val="65CB31CE"/>
    <w:rsid w:val="66787A92"/>
    <w:rsid w:val="67422D37"/>
    <w:rsid w:val="67595004"/>
    <w:rsid w:val="67921C7B"/>
    <w:rsid w:val="67C64D4A"/>
    <w:rsid w:val="68441504"/>
    <w:rsid w:val="687C07E2"/>
    <w:rsid w:val="6A096FF4"/>
    <w:rsid w:val="6A3B70DB"/>
    <w:rsid w:val="6DA940D0"/>
    <w:rsid w:val="705C7A2E"/>
    <w:rsid w:val="708C4053"/>
    <w:rsid w:val="70AE4B6D"/>
    <w:rsid w:val="71A65446"/>
    <w:rsid w:val="72BC4683"/>
    <w:rsid w:val="72EC201A"/>
    <w:rsid w:val="734D694E"/>
    <w:rsid w:val="738E01BC"/>
    <w:rsid w:val="73D748C5"/>
    <w:rsid w:val="741132A2"/>
    <w:rsid w:val="74CC348F"/>
    <w:rsid w:val="74E97873"/>
    <w:rsid w:val="767F38E0"/>
    <w:rsid w:val="78C5703B"/>
    <w:rsid w:val="79F84D59"/>
    <w:rsid w:val="7A6048EA"/>
    <w:rsid w:val="7A73139A"/>
    <w:rsid w:val="7B161441"/>
    <w:rsid w:val="7D7508C6"/>
    <w:rsid w:val="7EFF1094"/>
    <w:rsid w:val="7FFC25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9"/>
    <w:pPr>
      <w:widowControl/>
      <w:jc w:val="left"/>
      <w:outlineLvl w:val="2"/>
    </w:pPr>
    <w:rPr>
      <w:rFonts w:ascii="宋体" w:hAnsi="宋体"/>
      <w:b/>
      <w:bCs/>
      <w:kern w:val="0"/>
      <w:sz w:val="27"/>
      <w:szCs w:val="27"/>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99"/>
    <w:pPr>
      <w:jc w:val="left"/>
    </w:pPr>
  </w:style>
  <w:style w:type="paragraph" w:styleId="6">
    <w:name w:val="Body Text"/>
    <w:basedOn w:val="1"/>
    <w:link w:val="24"/>
    <w:qFormat/>
    <w:uiPriority w:val="99"/>
    <w:pPr>
      <w:jc w:val="right"/>
    </w:pPr>
    <w:rPr>
      <w:sz w:val="24"/>
    </w:rPr>
  </w:style>
  <w:style w:type="paragraph" w:styleId="7">
    <w:name w:val="Date"/>
    <w:basedOn w:val="1"/>
    <w:next w:val="1"/>
    <w:link w:val="25"/>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kern w:val="0"/>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9"/>
    <w:qFormat/>
    <w:uiPriority w:val="99"/>
    <w:rPr>
      <w:b/>
      <w:bCs/>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page number"/>
    <w:basedOn w:val="15"/>
    <w:qFormat/>
    <w:uiPriority w:val="99"/>
    <w:rPr>
      <w:rFonts w:cs="Times New Roman"/>
    </w:rPr>
  </w:style>
  <w:style w:type="character" w:styleId="18">
    <w:name w:val="Hyperlink"/>
    <w:basedOn w:val="15"/>
    <w:qFormat/>
    <w:uiPriority w:val="99"/>
    <w:rPr>
      <w:rFonts w:cs="Times New Roman"/>
      <w:color w:val="0000CC"/>
      <w:u w:val="single"/>
    </w:rPr>
  </w:style>
  <w:style w:type="character" w:styleId="19">
    <w:name w:val="annotation reference"/>
    <w:basedOn w:val="15"/>
    <w:qFormat/>
    <w:uiPriority w:val="99"/>
    <w:rPr>
      <w:rFonts w:cs="Times New Roman"/>
      <w:sz w:val="21"/>
    </w:rPr>
  </w:style>
  <w:style w:type="character" w:customStyle="1" w:styleId="20">
    <w:name w:val="Heading 1 Char"/>
    <w:basedOn w:val="15"/>
    <w:link w:val="2"/>
    <w:qFormat/>
    <w:locked/>
    <w:uiPriority w:val="99"/>
    <w:rPr>
      <w:rFonts w:ascii="Times New Roman" w:hAnsi="Times New Roman"/>
      <w:b/>
      <w:kern w:val="44"/>
      <w:sz w:val="44"/>
    </w:rPr>
  </w:style>
  <w:style w:type="character" w:customStyle="1" w:styleId="21">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22">
    <w:name w:val="Heading 3 Char"/>
    <w:basedOn w:val="15"/>
    <w:link w:val="4"/>
    <w:qFormat/>
    <w:locked/>
    <w:uiPriority w:val="99"/>
    <w:rPr>
      <w:rFonts w:ascii="宋体" w:eastAsia="宋体"/>
      <w:b/>
      <w:sz w:val="27"/>
    </w:rPr>
  </w:style>
  <w:style w:type="character" w:customStyle="1" w:styleId="23">
    <w:name w:val="Comment Text Char"/>
    <w:basedOn w:val="15"/>
    <w:link w:val="5"/>
    <w:semiHidden/>
    <w:qFormat/>
    <w:locked/>
    <w:uiPriority w:val="99"/>
    <w:rPr>
      <w:rFonts w:ascii="Times New Roman" w:hAnsi="Times New Roman"/>
      <w:kern w:val="2"/>
      <w:sz w:val="24"/>
    </w:rPr>
  </w:style>
  <w:style w:type="character" w:customStyle="1" w:styleId="24">
    <w:name w:val="Body Text Char"/>
    <w:basedOn w:val="15"/>
    <w:link w:val="6"/>
    <w:semiHidden/>
    <w:qFormat/>
    <w:uiPriority w:val="99"/>
    <w:rPr>
      <w:szCs w:val="24"/>
    </w:rPr>
  </w:style>
  <w:style w:type="character" w:customStyle="1" w:styleId="25">
    <w:name w:val="Date Char"/>
    <w:basedOn w:val="15"/>
    <w:link w:val="7"/>
    <w:semiHidden/>
    <w:qFormat/>
    <w:uiPriority w:val="99"/>
    <w:rPr>
      <w:szCs w:val="24"/>
    </w:rPr>
  </w:style>
  <w:style w:type="character" w:customStyle="1" w:styleId="26">
    <w:name w:val="Balloon Text Char"/>
    <w:basedOn w:val="15"/>
    <w:link w:val="8"/>
    <w:semiHidden/>
    <w:qFormat/>
    <w:uiPriority w:val="99"/>
    <w:rPr>
      <w:sz w:val="0"/>
      <w:szCs w:val="0"/>
    </w:rPr>
  </w:style>
  <w:style w:type="character" w:customStyle="1" w:styleId="27">
    <w:name w:val="Footer Char"/>
    <w:basedOn w:val="15"/>
    <w:link w:val="9"/>
    <w:qFormat/>
    <w:locked/>
    <w:uiPriority w:val="99"/>
    <w:rPr>
      <w:sz w:val="18"/>
    </w:rPr>
  </w:style>
  <w:style w:type="character" w:customStyle="1" w:styleId="28">
    <w:name w:val="Header Char"/>
    <w:basedOn w:val="15"/>
    <w:link w:val="10"/>
    <w:qFormat/>
    <w:locked/>
    <w:uiPriority w:val="99"/>
    <w:rPr>
      <w:sz w:val="18"/>
    </w:rPr>
  </w:style>
  <w:style w:type="character" w:customStyle="1" w:styleId="29">
    <w:name w:val="Comment Subject Char"/>
    <w:basedOn w:val="23"/>
    <w:link w:val="12"/>
    <w:semiHidden/>
    <w:qFormat/>
    <w:locked/>
    <w:uiPriority w:val="99"/>
    <w:rPr>
      <w:b/>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
    <w:name w:val="Char Char1 Char Char Char Char Char Char Char"/>
    <w:basedOn w:val="1"/>
    <w:qFormat/>
    <w:uiPriority w:val="99"/>
    <w:pPr>
      <w:widowControl/>
      <w:spacing w:after="160" w:line="240" w:lineRule="exact"/>
      <w:jc w:val="left"/>
    </w:pPr>
    <w:rPr>
      <w:rFonts w:ascii="Tahoma" w:hAnsi="Tahoma" w:cs="Tahoma"/>
      <w:kern w:val="0"/>
      <w:sz w:val="20"/>
      <w:szCs w:val="20"/>
      <w:lang w:eastAsia="en-US"/>
    </w:rPr>
  </w:style>
  <w:style w:type="paragraph" w:styleId="32">
    <w:name w:val="List Paragraph"/>
    <w:basedOn w:val="1"/>
    <w:qFormat/>
    <w:uiPriority w:val="99"/>
    <w:pPr>
      <w:ind w:firstLine="420" w:firstLineChars="200"/>
    </w:pPr>
  </w:style>
  <w:style w:type="paragraph" w:customStyle="1" w:styleId="33">
    <w:name w:val="列出段落1"/>
    <w:basedOn w:val="34"/>
    <w:qFormat/>
    <w:uiPriority w:val="99"/>
    <w:pPr>
      <w:tabs>
        <w:tab w:val="center" w:pos="4153"/>
        <w:tab w:val="right" w:pos="8306"/>
      </w:tabs>
      <w:ind w:firstLine="420" w:firstLineChars="200"/>
    </w:pPr>
  </w:style>
  <w:style w:type="paragraph" w:customStyle="1" w:styleId="34">
    <w:name w:val="Header1"/>
    <w:basedOn w:val="35"/>
    <w:qFormat/>
    <w:uiPriority w:val="99"/>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style>
  <w:style w:type="paragraph" w:customStyle="1" w:styleId="35">
    <w:name w:val="Footer1"/>
    <w:basedOn w:val="6"/>
    <w:qFormat/>
    <w:uiPriority w:val="99"/>
    <w:pPr>
      <w:tabs>
        <w:tab w:val="center" w:pos="4153"/>
        <w:tab w:val="right" w:pos="8306"/>
      </w:tabs>
      <w:jc w:val="left"/>
    </w:pPr>
    <w:rPr>
      <w:sz w:val="18"/>
    </w:rPr>
  </w:style>
  <w:style w:type="paragraph" w:customStyle="1" w:styleId="36">
    <w:name w:val="msonormal1"/>
    <w:qFormat/>
    <w:uiPriority w:val="99"/>
    <w:pPr>
      <w:widowControl w:val="0"/>
      <w:jc w:val="both"/>
    </w:pPr>
    <w:rPr>
      <w:rFonts w:ascii="Calibri"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5992</Words>
  <Characters>6121</Characters>
  <Lines>0</Lines>
  <Paragraphs>0</Paragraphs>
  <TotalTime>0</TotalTime>
  <ScaleCrop>false</ScaleCrop>
  <LinksUpToDate>false</LinksUpToDate>
  <CharactersWithSpaces>6276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2020-06-03T09:02:00Z</dcterms:created>
  <dc:creator>USER</dc:creator>
  <cp:lastModifiedBy>怒放的生命</cp:lastModifiedBy>
  <cp:lastPrinted>2020-06-11T06:02:00Z</cp:lastPrinted>
  <dcterms:modified xsi:type="dcterms:W3CDTF">2020-08-13T07:43:57Z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