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line="427"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z w:val="32"/>
          <w:szCs w:val="32"/>
          <w:u w:val="none"/>
          <w:bdr w:val="none" w:color="auto" w:sz="0" w:space="0"/>
        </w:rPr>
        <w:t>领导干部个人有关事项报告查核结果处理办法</w:t>
      </w:r>
    </w:p>
    <w:p>
      <w:pPr>
        <w:pStyle w:val="2"/>
        <w:keepNext w:val="0"/>
        <w:keepLines w:val="0"/>
        <w:widowControl/>
        <w:suppressLineNumbers w:val="0"/>
        <w:wordWrap w:val="0"/>
        <w:spacing w:line="427" w:lineRule="auto"/>
        <w:jc w:val="center"/>
      </w:pPr>
      <w:r>
        <w:rPr>
          <w:color w:val="000000"/>
          <w:sz w:val="24"/>
          <w:szCs w:val="24"/>
          <w:u w:val="none"/>
          <w:bdr w:val="none" w:color="auto" w:sz="0" w:space="0"/>
        </w:rPr>
        <w:t>(中办2017年2月8日发)</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第一条</w:t>
      </w:r>
      <w:r>
        <w:rPr>
          <w:rFonts w:hint="eastAsia"/>
          <w:color w:val="000000"/>
          <w:sz w:val="24"/>
          <w:szCs w:val="24"/>
          <w:u w:val="none"/>
          <w:bdr w:val="none" w:color="auto" w:sz="0" w:space="0"/>
          <w:lang w:val="en-US" w:eastAsia="zh-CN"/>
        </w:rPr>
        <w:t xml:space="preserve">  </w:t>
      </w:r>
      <w:r>
        <w:rPr>
          <w:color w:val="000000"/>
          <w:sz w:val="24"/>
          <w:szCs w:val="24"/>
          <w:u w:val="none"/>
          <w:bdr w:val="none" w:color="auto" w:sz="0" w:space="0"/>
        </w:rPr>
        <w:t xml:space="preserve">为规范领导干部个人有关事项报告查核结果处理工作，强化查核结果运用，根据《领导干部报告个人有关事项规定》和有关规定，制定本办法。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第二条</w:t>
      </w:r>
      <w:r>
        <w:rPr>
          <w:rFonts w:hint="eastAsia"/>
          <w:color w:val="000000"/>
          <w:sz w:val="24"/>
          <w:szCs w:val="24"/>
          <w:u w:val="none"/>
          <w:bdr w:val="none" w:color="auto" w:sz="0" w:space="0"/>
          <w:lang w:val="en-US" w:eastAsia="zh-CN"/>
        </w:rPr>
        <w:t xml:space="preserve">  </w:t>
      </w:r>
      <w:r>
        <w:rPr>
          <w:color w:val="000000"/>
          <w:sz w:val="24"/>
          <w:szCs w:val="24"/>
          <w:u w:val="none"/>
          <w:bdr w:val="none" w:color="auto" w:sz="0" w:space="0"/>
        </w:rPr>
        <w:t xml:space="preserve">查核结果认定与处理，由组织（人事）部门干部监督机构会同干部工作机构组织实施。 </w:t>
      </w:r>
    </w:p>
    <w:p>
      <w:pPr>
        <w:pStyle w:val="2"/>
        <w:keepNext w:val="0"/>
        <w:keepLines w:val="0"/>
        <w:widowControl/>
        <w:suppressLineNumbers w:val="0"/>
        <w:wordWrap w:val="0"/>
        <w:spacing w:line="427" w:lineRule="auto"/>
        <w:ind w:left="0" w:firstLine="420"/>
        <w:jc w:val="left"/>
        <w:rPr>
          <w:color w:val="000000"/>
          <w:sz w:val="24"/>
          <w:szCs w:val="24"/>
          <w:u w:val="none"/>
          <w:bdr w:val="none" w:color="auto" w:sz="0" w:space="0"/>
        </w:rPr>
      </w:pPr>
      <w:r>
        <w:rPr>
          <w:color w:val="000000"/>
          <w:sz w:val="24"/>
          <w:szCs w:val="24"/>
          <w:u w:val="none"/>
          <w:bdr w:val="none" w:color="auto" w:sz="0" w:space="0"/>
        </w:rPr>
        <w:t xml:space="preserve">第三条 </w:t>
      </w:r>
      <w:r>
        <w:rPr>
          <w:rFonts w:hint="eastAsia"/>
          <w:color w:val="000000"/>
          <w:sz w:val="24"/>
          <w:szCs w:val="24"/>
          <w:u w:val="none"/>
          <w:bdr w:val="none" w:color="auto" w:sz="0" w:space="0"/>
          <w:lang w:val="en-US" w:eastAsia="zh-CN"/>
        </w:rPr>
        <w:t xml:space="preserve"> </w:t>
      </w:r>
      <w:r>
        <w:rPr>
          <w:color w:val="000000"/>
          <w:sz w:val="24"/>
          <w:szCs w:val="24"/>
          <w:u w:val="none"/>
          <w:bdr w:val="none" w:color="auto" w:sz="0" w:space="0"/>
        </w:rPr>
        <w:t xml:space="preserve">查核结果与领导干部当年年度集中报告的个人有关事项内容不一致，有下列情形之一的，一般认定为漏报行为：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（一）未报告本人持有往来港澳通行证、因私持有大陆居民往来台湾通行证或者因私往来港澳、台湾情况的； </w:t>
      </w:r>
    </w:p>
    <w:p>
      <w:pPr>
        <w:pStyle w:val="2"/>
        <w:keepNext w:val="0"/>
        <w:keepLines w:val="0"/>
        <w:widowControl/>
        <w:suppressLineNumbers w:val="0"/>
        <w:wordWrap w:val="0"/>
        <w:spacing w:line="427" w:lineRule="auto"/>
        <w:ind w:left="0" w:firstLine="420"/>
        <w:jc w:val="left"/>
        <w:rPr>
          <w:color w:val="000000"/>
          <w:sz w:val="24"/>
          <w:szCs w:val="24"/>
          <w:u w:val="none"/>
          <w:bdr w:val="none" w:color="auto" w:sz="0" w:space="0"/>
        </w:rPr>
      </w:pPr>
      <w:r>
        <w:rPr>
          <w:color w:val="000000"/>
          <w:sz w:val="24"/>
          <w:szCs w:val="24"/>
          <w:u w:val="none"/>
          <w:bdr w:val="none" w:color="auto" w:sz="0" w:space="0"/>
        </w:rPr>
        <w:t>（二）少报告房产面积或者未报告车库、车位、储藏间的；</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（三）少报告持有股票、基金、投资型保险金额等情况的； </w:t>
      </w:r>
    </w:p>
    <w:p>
      <w:pPr>
        <w:pStyle w:val="2"/>
        <w:keepNext w:val="0"/>
        <w:keepLines w:val="0"/>
        <w:widowControl/>
        <w:suppressLineNumbers w:val="0"/>
        <w:wordWrap w:val="0"/>
        <w:spacing w:line="427" w:lineRule="auto"/>
        <w:ind w:left="0" w:firstLine="420"/>
        <w:jc w:val="left"/>
        <w:rPr>
          <w:color w:val="000000"/>
          <w:sz w:val="24"/>
          <w:szCs w:val="24"/>
          <w:u w:val="none"/>
          <w:bdr w:val="none" w:color="auto" w:sz="0" w:space="0"/>
        </w:rPr>
      </w:pPr>
      <w:r>
        <w:rPr>
          <w:color w:val="000000"/>
          <w:sz w:val="24"/>
          <w:szCs w:val="24"/>
          <w:u w:val="none"/>
          <w:bdr w:val="none" w:color="auto" w:sz="0" w:space="0"/>
        </w:rPr>
        <w:t>（四）少报告投资非上市股份有限公司、有限责任公司或者注册个体工商户、个人独资企业、合伙企业的投资金额等情况的；</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 （五）存在其他漏报情形的。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第四条 </w:t>
      </w:r>
      <w:r>
        <w:rPr>
          <w:rFonts w:hint="eastAsia"/>
          <w:color w:val="000000"/>
          <w:sz w:val="24"/>
          <w:szCs w:val="24"/>
          <w:u w:val="none"/>
          <w:bdr w:val="none" w:color="auto" w:sz="0" w:space="0"/>
          <w:lang w:val="en-US" w:eastAsia="zh-CN"/>
        </w:rPr>
        <w:t xml:space="preserve"> </w:t>
      </w:r>
      <w:r>
        <w:rPr>
          <w:color w:val="000000"/>
          <w:sz w:val="24"/>
          <w:szCs w:val="24"/>
          <w:u w:val="none"/>
          <w:bdr w:val="none" w:color="auto" w:sz="0" w:space="0"/>
        </w:rPr>
        <w:t xml:space="preserve">查核结果与领导干部当年年度集中报告的个人有关事项内容不一致，有下列情形之一的，一般认定为隐瞒不报行为：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（一）未报告本人婚姻情况的； </w:t>
      </w:r>
    </w:p>
    <w:p>
      <w:pPr>
        <w:pStyle w:val="2"/>
        <w:keepNext w:val="0"/>
        <w:keepLines w:val="0"/>
        <w:widowControl/>
        <w:suppressLineNumbers w:val="0"/>
        <w:wordWrap w:val="0"/>
        <w:spacing w:line="427" w:lineRule="auto"/>
        <w:ind w:left="0" w:firstLine="420"/>
        <w:jc w:val="left"/>
        <w:rPr>
          <w:color w:val="000000"/>
          <w:sz w:val="24"/>
          <w:szCs w:val="24"/>
          <w:u w:val="none"/>
          <w:bdr w:val="none" w:color="auto" w:sz="0" w:space="0"/>
        </w:rPr>
      </w:pPr>
      <w:r>
        <w:rPr>
          <w:color w:val="000000"/>
          <w:sz w:val="24"/>
          <w:szCs w:val="24"/>
          <w:u w:val="none"/>
          <w:bdr w:val="none" w:color="auto" w:sz="0" w:space="0"/>
        </w:rPr>
        <w:t xml:space="preserve">（二）未报告本人持有普通护照或者因私出国情况的；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（三）未报告子女与外国人、无国籍人，或者与港澳、台湾居民通婚情况的； </w:t>
      </w:r>
    </w:p>
    <w:p>
      <w:pPr>
        <w:pStyle w:val="2"/>
        <w:keepNext w:val="0"/>
        <w:keepLines w:val="0"/>
        <w:widowControl/>
        <w:suppressLineNumbers w:val="0"/>
        <w:wordWrap w:val="0"/>
        <w:spacing w:line="427" w:lineRule="auto"/>
        <w:ind w:left="0" w:firstLine="420"/>
        <w:jc w:val="left"/>
        <w:rPr>
          <w:color w:val="000000"/>
          <w:sz w:val="24"/>
          <w:szCs w:val="24"/>
          <w:u w:val="none"/>
          <w:bdr w:val="none" w:color="auto" w:sz="0" w:space="0"/>
        </w:rPr>
      </w:pPr>
      <w:r>
        <w:rPr>
          <w:color w:val="000000"/>
          <w:sz w:val="24"/>
          <w:szCs w:val="24"/>
          <w:u w:val="none"/>
          <w:bdr w:val="none" w:color="auto" w:sz="0" w:space="0"/>
        </w:rPr>
        <w:t xml:space="preserve">（四）未报告配偶、子女移居国（境）外或者虽未移居国（境 ）外但连续在国（境）外工作、生活一年以上情况的；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（五）未报告配偶、子女及其配偶从业情况的；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（六）未报告配偶、子女及其配偶被司法机关追究刑事责任情况的； </w:t>
      </w:r>
    </w:p>
    <w:p>
      <w:pPr>
        <w:pStyle w:val="2"/>
        <w:keepNext w:val="0"/>
        <w:keepLines w:val="0"/>
        <w:widowControl/>
        <w:suppressLineNumbers w:val="0"/>
        <w:wordWrap w:val="0"/>
        <w:spacing w:line="427" w:lineRule="auto"/>
        <w:ind w:left="0" w:firstLine="420"/>
        <w:jc w:val="left"/>
        <w:rPr>
          <w:color w:val="000000"/>
          <w:sz w:val="24"/>
          <w:szCs w:val="24"/>
          <w:u w:val="none"/>
          <w:bdr w:val="none" w:color="auto" w:sz="0" w:space="0"/>
        </w:rPr>
      </w:pPr>
      <w:r>
        <w:rPr>
          <w:color w:val="000000"/>
          <w:sz w:val="24"/>
          <w:szCs w:val="24"/>
          <w:u w:val="none"/>
          <w:bdr w:val="none" w:color="auto" w:sz="0" w:space="0"/>
        </w:rPr>
        <w:t xml:space="preserve">（七）未报告房产1套以上（不含车库、车位、储藏间）的； </w:t>
      </w:r>
    </w:p>
    <w:p>
      <w:pPr>
        <w:pStyle w:val="2"/>
        <w:keepNext w:val="0"/>
        <w:keepLines w:val="0"/>
        <w:widowControl/>
        <w:suppressLineNumbers w:val="0"/>
        <w:wordWrap w:val="0"/>
        <w:spacing w:line="427" w:lineRule="auto"/>
        <w:ind w:left="0" w:firstLine="420"/>
        <w:jc w:val="left"/>
        <w:rPr>
          <w:color w:val="000000"/>
          <w:sz w:val="24"/>
          <w:szCs w:val="24"/>
          <w:u w:val="none"/>
          <w:bdr w:val="none" w:color="auto" w:sz="0" w:space="0"/>
        </w:rPr>
      </w:pPr>
      <w:r>
        <w:rPr>
          <w:color w:val="000000"/>
          <w:sz w:val="24"/>
          <w:szCs w:val="24"/>
          <w:u w:val="none"/>
          <w:bdr w:val="none" w:color="auto" w:sz="0" w:space="0"/>
        </w:rPr>
        <w:t>（八）未报告持有股票、基金、投资型保险等情况的；</w:t>
      </w:r>
    </w:p>
    <w:p>
      <w:pPr>
        <w:pStyle w:val="2"/>
        <w:keepNext w:val="0"/>
        <w:keepLines w:val="0"/>
        <w:widowControl/>
        <w:suppressLineNumbers w:val="0"/>
        <w:wordWrap w:val="0"/>
        <w:spacing w:line="427" w:lineRule="auto"/>
        <w:ind w:left="0" w:firstLine="420"/>
        <w:jc w:val="left"/>
        <w:rPr>
          <w:color w:val="000000"/>
          <w:sz w:val="24"/>
          <w:szCs w:val="24"/>
          <w:u w:val="none"/>
          <w:bdr w:val="none" w:color="auto" w:sz="0" w:space="0"/>
        </w:rPr>
      </w:pPr>
      <w:r>
        <w:rPr>
          <w:color w:val="000000"/>
          <w:sz w:val="24"/>
          <w:szCs w:val="24"/>
          <w:u w:val="none"/>
          <w:bdr w:val="none" w:color="auto" w:sz="0" w:space="0"/>
        </w:rPr>
        <w:t xml:space="preserve"> （九）未报告投资非上市股份有限公司、有限责任公司或者注册个体工商户、个人独资企业、合伙企业等1家以上的；</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 （十）存在其他隐瞒不报情形的。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第五条 </w:t>
      </w:r>
      <w:r>
        <w:rPr>
          <w:rFonts w:hint="eastAsia"/>
          <w:color w:val="000000"/>
          <w:sz w:val="24"/>
          <w:szCs w:val="24"/>
          <w:u w:val="none"/>
          <w:bdr w:val="none" w:color="auto" w:sz="0" w:space="0"/>
          <w:lang w:val="en-US" w:eastAsia="zh-CN"/>
        </w:rPr>
        <w:t xml:space="preserve">  </w:t>
      </w:r>
      <w:r>
        <w:rPr>
          <w:color w:val="000000"/>
          <w:sz w:val="24"/>
          <w:szCs w:val="24"/>
          <w:u w:val="none"/>
          <w:bdr w:val="none" w:color="auto" w:sz="0" w:space="0"/>
        </w:rPr>
        <w:t xml:space="preserve">经认定，查核结果凡属漏报行为，情节较轻的，应当给予 批评教育、责令作出检查、限期改正等处理；情节较重的，应当给予诫勉、取消考察对象（后备干部人选）资格、调离岗位、改任非领导职务等处理。情节较重是指少报告房产面积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50平方米以上，或者少报告投资金额30万元以上，或者其他漏报情形较重的。存在两种以上漏报情形的，从重处理。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经认定，查核结果凡属隐瞒不报行为的，应当根据情节轻重，给予诫勉、取消考察对象（后备干部人选）资格、调离岗位、改任非领导职务、免职、降职等处理。存在两种以上隐瞒不报情形的，从重处理。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隐瞒不报情节较重或者查核发现涉嫌其他违纪问题的，依照《中国共产党纪律处分条例》等追究纪律责任。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查核发现领导干部的家庭财产明显超过正常收入的，应 当要求本人在15个工作日内说明来源，必要时组织（人事） 部门会同有关部门对其财产来源的合法性进行验证。对拒不 说明、无法说明财产合法来源或者经查证说明不属实的，由 执纪执法机关按照有关规定处理。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第六条 </w:t>
      </w:r>
      <w:r>
        <w:rPr>
          <w:rFonts w:hint="eastAsia"/>
          <w:color w:val="000000"/>
          <w:sz w:val="24"/>
          <w:szCs w:val="24"/>
          <w:u w:val="none"/>
          <w:bdr w:val="none" w:color="auto" w:sz="0" w:space="0"/>
          <w:lang w:val="en-US" w:eastAsia="zh-CN"/>
        </w:rPr>
        <w:t xml:space="preserve">  </w:t>
      </w:r>
      <w:r>
        <w:rPr>
          <w:color w:val="000000"/>
          <w:sz w:val="24"/>
          <w:szCs w:val="24"/>
          <w:u w:val="none"/>
          <w:bdr w:val="none" w:color="auto" w:sz="0" w:space="0"/>
        </w:rPr>
        <w:t xml:space="preserve">领导干部因违反报告个人有关事项规定受到组织处理或者纪律处分的，其影响期按照有关规定执行。同时受到组织处理和纪律处分的，按照影响期长的规定执行。 </w:t>
      </w:r>
    </w:p>
    <w:p>
      <w:pPr>
        <w:pStyle w:val="2"/>
        <w:keepNext w:val="0"/>
        <w:keepLines w:val="0"/>
        <w:widowControl/>
        <w:suppressLineNumbers w:val="0"/>
        <w:wordWrap w:val="0"/>
        <w:spacing w:line="427" w:lineRule="auto"/>
        <w:ind w:left="0" w:firstLine="420"/>
        <w:jc w:val="left"/>
        <w:rPr>
          <w:color w:val="000000"/>
          <w:sz w:val="24"/>
          <w:szCs w:val="24"/>
          <w:u w:val="none"/>
          <w:bdr w:val="none" w:color="auto" w:sz="0" w:space="0"/>
        </w:rPr>
      </w:pPr>
      <w:r>
        <w:rPr>
          <w:color w:val="000000"/>
          <w:sz w:val="24"/>
          <w:szCs w:val="24"/>
          <w:u w:val="none"/>
          <w:bdr w:val="none" w:color="auto" w:sz="0" w:space="0"/>
        </w:rPr>
        <w:t>（一）受到诫勉处理的，半年内不得提拔或者进一步使用；</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（二）受到取消考察对象（后备干部人选）资格处理的，一年内不得提拔或者进一步使用；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（三）受到调离岗位、改任非领导职务、免职处理的，一年内不得提拔；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（四）受到降职处理的，两年内不得提拔；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（五）受到纪律处分的，依照《中国共产党纪律处分条例》等规定执行。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第七条 </w:t>
      </w:r>
      <w:r>
        <w:rPr>
          <w:rFonts w:hint="eastAsia"/>
          <w:color w:val="000000"/>
          <w:sz w:val="24"/>
          <w:szCs w:val="24"/>
          <w:u w:val="none"/>
          <w:bdr w:val="none" w:color="auto" w:sz="0" w:space="0"/>
          <w:lang w:val="en-US" w:eastAsia="zh-CN"/>
        </w:rPr>
        <w:t xml:space="preserve"> </w:t>
      </w:r>
      <w:r>
        <w:rPr>
          <w:color w:val="000000"/>
          <w:sz w:val="24"/>
          <w:szCs w:val="24"/>
          <w:u w:val="none"/>
          <w:bdr w:val="none" w:color="auto" w:sz="0" w:space="0"/>
        </w:rPr>
        <w:t xml:space="preserve">组织（人事）部门应当加强对本办法执行情况的监督检查 。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第八条 </w:t>
      </w:r>
      <w:r>
        <w:rPr>
          <w:rFonts w:hint="eastAsia"/>
          <w:color w:val="000000"/>
          <w:sz w:val="24"/>
          <w:szCs w:val="24"/>
          <w:u w:val="none"/>
          <w:bdr w:val="none" w:color="auto" w:sz="0" w:space="0"/>
          <w:lang w:val="en-US" w:eastAsia="zh-CN"/>
        </w:rPr>
        <w:t xml:space="preserve"> </w:t>
      </w:r>
      <w:r>
        <w:rPr>
          <w:color w:val="000000"/>
          <w:sz w:val="24"/>
          <w:szCs w:val="24"/>
          <w:u w:val="none"/>
          <w:bdr w:val="none" w:color="auto" w:sz="0" w:space="0"/>
        </w:rPr>
        <w:t xml:space="preserve">本办法由中共中央组织部负责解释。 </w:t>
      </w:r>
    </w:p>
    <w:p>
      <w:pPr>
        <w:pStyle w:val="2"/>
        <w:keepNext w:val="0"/>
        <w:keepLines w:val="0"/>
        <w:widowControl/>
        <w:suppressLineNumbers w:val="0"/>
        <w:wordWrap w:val="0"/>
        <w:spacing w:line="427" w:lineRule="auto"/>
        <w:ind w:left="0" w:firstLine="420"/>
        <w:jc w:val="left"/>
      </w:pPr>
      <w:r>
        <w:rPr>
          <w:color w:val="000000"/>
          <w:sz w:val="24"/>
          <w:szCs w:val="24"/>
          <w:u w:val="none"/>
          <w:bdr w:val="none" w:color="auto" w:sz="0" w:space="0"/>
        </w:rPr>
        <w:t xml:space="preserve">第九条 </w:t>
      </w:r>
      <w:r>
        <w:rPr>
          <w:rFonts w:hint="eastAsia"/>
          <w:color w:val="000000"/>
          <w:sz w:val="24"/>
          <w:szCs w:val="24"/>
          <w:u w:val="none"/>
          <w:bdr w:val="none" w:color="auto" w:sz="0" w:space="0"/>
          <w:lang w:val="en-US" w:eastAsia="zh-CN"/>
        </w:rPr>
        <w:t xml:space="preserve"> </w:t>
      </w:r>
      <w:bookmarkStart w:id="0" w:name="_GoBack"/>
      <w:bookmarkEnd w:id="0"/>
      <w:r>
        <w:rPr>
          <w:color w:val="000000"/>
          <w:sz w:val="24"/>
          <w:szCs w:val="24"/>
          <w:u w:val="none"/>
          <w:bdr w:val="none" w:color="auto" w:sz="0" w:space="0"/>
        </w:rPr>
        <w:t xml:space="preserve">本办法自2017年2月8日起施行。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3B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163AF"/>
      <w:u w:val="single"/>
      <w:bdr w:val="none" w:color="auto" w:sz="0" w:space="0"/>
    </w:rPr>
  </w:style>
  <w:style w:type="character" w:styleId="5">
    <w:name w:val="Hyperlink"/>
    <w:basedOn w:val="3"/>
    <w:uiPriority w:val="0"/>
    <w:rPr>
      <w:color w:val="0163AF"/>
      <w:u w:val="singl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赵鑫</cp:lastModifiedBy>
  <dcterms:modified xsi:type="dcterms:W3CDTF">2018-01-04T10:00:38Z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